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BF" w:rsidRDefault="00607D10" w:rsidP="007759C5">
      <w:pPr>
        <w:spacing w:after="0"/>
        <w:ind w:firstLine="709"/>
        <w:rPr>
          <w:b/>
          <w:bCs/>
          <w:sz w:val="28"/>
          <w:szCs w:val="28"/>
        </w:rPr>
      </w:pPr>
      <w:bookmarkStart w:id="0" w:name="_GoBack"/>
      <w:bookmarkEnd w:id="0"/>
      <w:r w:rsidRPr="001E1792">
        <w:rPr>
          <w:b/>
          <w:bCs/>
          <w:sz w:val="28"/>
          <w:szCs w:val="28"/>
        </w:rPr>
        <w:t xml:space="preserve">УДК </w:t>
      </w:r>
      <w:r w:rsidR="003F33F3">
        <w:rPr>
          <w:b/>
          <w:bCs/>
          <w:sz w:val="28"/>
          <w:szCs w:val="28"/>
          <w:lang w:val="en-US"/>
        </w:rPr>
        <w:t>330</w:t>
      </w:r>
      <w:r w:rsidR="003F33F3">
        <w:rPr>
          <w:b/>
          <w:bCs/>
          <w:sz w:val="28"/>
          <w:szCs w:val="28"/>
        </w:rPr>
        <w:t>.131.7:339.172</w:t>
      </w:r>
    </w:p>
    <w:p w:rsidR="00443203" w:rsidRPr="00443203" w:rsidRDefault="00443203" w:rsidP="007759C5">
      <w:pPr>
        <w:spacing w:after="0"/>
        <w:ind w:firstLine="709"/>
        <w:rPr>
          <w:b/>
          <w:bCs/>
          <w:sz w:val="28"/>
          <w:szCs w:val="28"/>
          <w:lang w:val="en-US"/>
        </w:rPr>
      </w:pPr>
      <w:r w:rsidRPr="00443203">
        <w:rPr>
          <w:b/>
          <w:bCs/>
          <w:sz w:val="28"/>
          <w:szCs w:val="28"/>
        </w:rPr>
        <w:t>JEL-класифікація</w:t>
      </w:r>
      <w:r>
        <w:rPr>
          <w:b/>
          <w:bCs/>
          <w:sz w:val="28"/>
          <w:szCs w:val="28"/>
        </w:rPr>
        <w:t xml:space="preserve">: </w:t>
      </w:r>
      <w:r>
        <w:rPr>
          <w:b/>
          <w:bCs/>
          <w:sz w:val="28"/>
          <w:szCs w:val="28"/>
          <w:lang w:val="en-US"/>
        </w:rPr>
        <w:t>D 51, G 32</w:t>
      </w:r>
    </w:p>
    <w:p w:rsidR="00607D10" w:rsidRPr="001E1792" w:rsidRDefault="009B1781" w:rsidP="001373ED">
      <w:pPr>
        <w:spacing w:after="0" w:line="276" w:lineRule="auto"/>
        <w:ind w:firstLine="709"/>
        <w:jc w:val="right"/>
        <w:rPr>
          <w:b/>
          <w:bCs/>
          <w:sz w:val="28"/>
          <w:szCs w:val="28"/>
        </w:rPr>
      </w:pPr>
      <w:r w:rsidRPr="001E1792">
        <w:rPr>
          <w:b/>
          <w:bCs/>
          <w:sz w:val="28"/>
          <w:szCs w:val="28"/>
        </w:rPr>
        <w:t>СИДОРЕНКО ОКСАНА ВАСИЛІВНА</w:t>
      </w:r>
    </w:p>
    <w:p w:rsidR="00607D10" w:rsidRPr="001E1792" w:rsidRDefault="00607D10" w:rsidP="001373ED">
      <w:pPr>
        <w:spacing w:after="0" w:line="276" w:lineRule="auto"/>
        <w:ind w:firstLine="709"/>
        <w:jc w:val="right"/>
        <w:rPr>
          <w:sz w:val="28"/>
          <w:szCs w:val="28"/>
        </w:rPr>
      </w:pPr>
      <w:r w:rsidRPr="001E1792">
        <w:rPr>
          <w:sz w:val="28"/>
          <w:szCs w:val="28"/>
        </w:rPr>
        <w:t>кандидат економічних наук, доцент</w:t>
      </w:r>
    </w:p>
    <w:p w:rsidR="00607D10" w:rsidRPr="001E1792" w:rsidRDefault="00607D10" w:rsidP="001373ED">
      <w:pPr>
        <w:spacing w:after="0" w:line="276" w:lineRule="auto"/>
        <w:ind w:firstLine="709"/>
        <w:jc w:val="right"/>
        <w:rPr>
          <w:sz w:val="28"/>
          <w:szCs w:val="28"/>
        </w:rPr>
      </w:pPr>
      <w:r w:rsidRPr="001E1792">
        <w:rPr>
          <w:sz w:val="28"/>
          <w:szCs w:val="28"/>
        </w:rPr>
        <w:t>Національний університет біоресурсів і природокористування України</w:t>
      </w:r>
    </w:p>
    <w:p w:rsidR="00D76CD6" w:rsidRPr="001E1792" w:rsidRDefault="00D76CD6" w:rsidP="0090222E">
      <w:pPr>
        <w:bidi/>
        <w:spacing w:after="0" w:line="276" w:lineRule="auto"/>
        <w:ind w:firstLine="709"/>
        <w:rPr>
          <w:sz w:val="28"/>
          <w:szCs w:val="28"/>
        </w:rPr>
      </w:pPr>
    </w:p>
    <w:p w:rsidR="00607D10" w:rsidRPr="00B046E5" w:rsidRDefault="009B1781" w:rsidP="0090222E">
      <w:pPr>
        <w:bidi/>
        <w:spacing w:after="0" w:line="276" w:lineRule="auto"/>
        <w:ind w:firstLine="709"/>
        <w:jc w:val="center"/>
        <w:rPr>
          <w:b/>
          <w:bCs/>
          <w:sz w:val="28"/>
          <w:szCs w:val="28"/>
        </w:rPr>
      </w:pPr>
      <w:r w:rsidRPr="001E1792">
        <w:rPr>
          <w:b/>
          <w:bCs/>
          <w:sz w:val="28"/>
          <w:szCs w:val="28"/>
        </w:rPr>
        <w:t xml:space="preserve">ІНСТРУМЕНТИ УПРАВЛІННЯ РИЗИКАМИ У БІРЖОВІЙ ТОРГІВЛІ </w:t>
      </w:r>
      <w:r w:rsidR="00B046E5">
        <w:rPr>
          <w:b/>
          <w:bCs/>
          <w:sz w:val="28"/>
          <w:szCs w:val="28"/>
        </w:rPr>
        <w:t>СІЛЬГОСППРОДУКЦІЄЮ</w:t>
      </w:r>
    </w:p>
    <w:p w:rsidR="00607D10" w:rsidRPr="00B046E5" w:rsidRDefault="00607D10" w:rsidP="0090222E">
      <w:pPr>
        <w:spacing w:after="0" w:line="276" w:lineRule="auto"/>
        <w:jc w:val="both"/>
        <w:rPr>
          <w:b/>
          <w:bCs/>
          <w:i/>
          <w:iCs/>
          <w:sz w:val="28"/>
          <w:szCs w:val="28"/>
        </w:rPr>
      </w:pPr>
      <w:r w:rsidRPr="00B046E5">
        <w:rPr>
          <w:i/>
          <w:iCs/>
          <w:sz w:val="28"/>
          <w:szCs w:val="28"/>
        </w:rPr>
        <w:t>Анотація:</w:t>
      </w:r>
      <w:r w:rsidR="00D76CD6" w:rsidRPr="00B046E5">
        <w:rPr>
          <w:b/>
          <w:bCs/>
          <w:i/>
          <w:iCs/>
          <w:sz w:val="28"/>
          <w:szCs w:val="28"/>
        </w:rPr>
        <w:t xml:space="preserve"> у </w:t>
      </w:r>
      <w:r w:rsidR="00D76CD6" w:rsidRPr="00B046E5">
        <w:rPr>
          <w:i/>
          <w:iCs/>
          <w:sz w:val="28"/>
          <w:szCs w:val="28"/>
        </w:rPr>
        <w:t>статті розглядаються</w:t>
      </w:r>
      <w:r w:rsidR="00D76CD6" w:rsidRPr="00B046E5">
        <w:rPr>
          <w:b/>
          <w:bCs/>
          <w:i/>
          <w:iCs/>
          <w:sz w:val="28"/>
          <w:szCs w:val="28"/>
        </w:rPr>
        <w:t xml:space="preserve"> </w:t>
      </w:r>
      <w:r w:rsidR="00D76CD6" w:rsidRPr="00B046E5">
        <w:rPr>
          <w:i/>
          <w:iCs/>
          <w:spacing w:val="-2"/>
          <w:sz w:val="28"/>
          <w:szCs w:val="28"/>
        </w:rPr>
        <w:t xml:space="preserve">проблеми системи управління </w:t>
      </w:r>
      <w:r w:rsidR="00F051F1" w:rsidRPr="00B046E5">
        <w:rPr>
          <w:i/>
          <w:iCs/>
          <w:spacing w:val="-2"/>
          <w:sz w:val="28"/>
          <w:szCs w:val="28"/>
        </w:rPr>
        <w:t xml:space="preserve">ризиками </w:t>
      </w:r>
      <w:r w:rsidR="00F45F71" w:rsidRPr="00B046E5">
        <w:rPr>
          <w:i/>
          <w:iCs/>
          <w:spacing w:val="-2"/>
          <w:sz w:val="28"/>
          <w:szCs w:val="28"/>
          <w:lang w:val="ru-RU"/>
        </w:rPr>
        <w:t xml:space="preserve">при </w:t>
      </w:r>
      <w:proofErr w:type="spellStart"/>
      <w:r w:rsidR="00F45F71" w:rsidRPr="00B046E5">
        <w:rPr>
          <w:i/>
          <w:iCs/>
          <w:spacing w:val="-2"/>
          <w:sz w:val="28"/>
          <w:szCs w:val="28"/>
          <w:lang w:val="ru-RU"/>
        </w:rPr>
        <w:t>торгівлі</w:t>
      </w:r>
      <w:proofErr w:type="spellEnd"/>
      <w:r w:rsidR="00F45F71" w:rsidRPr="00B046E5">
        <w:rPr>
          <w:i/>
          <w:iCs/>
          <w:spacing w:val="-2"/>
          <w:sz w:val="28"/>
          <w:szCs w:val="28"/>
          <w:lang w:val="ru-RU"/>
        </w:rPr>
        <w:t xml:space="preserve"> с/г </w:t>
      </w:r>
      <w:proofErr w:type="spellStart"/>
      <w:r w:rsidR="00D35FC2" w:rsidRPr="00B046E5">
        <w:rPr>
          <w:i/>
          <w:iCs/>
          <w:spacing w:val="-2"/>
          <w:sz w:val="28"/>
          <w:szCs w:val="28"/>
          <w:lang w:val="ru-RU"/>
        </w:rPr>
        <w:t>продукцією</w:t>
      </w:r>
      <w:proofErr w:type="spellEnd"/>
      <w:r w:rsidR="00F051F1" w:rsidRPr="00B046E5">
        <w:rPr>
          <w:i/>
          <w:iCs/>
          <w:spacing w:val="-2"/>
          <w:sz w:val="28"/>
          <w:szCs w:val="28"/>
        </w:rPr>
        <w:t>;</w:t>
      </w:r>
      <w:r w:rsidR="00D76CD6" w:rsidRPr="00B046E5">
        <w:rPr>
          <w:i/>
          <w:iCs/>
          <w:spacing w:val="-2"/>
          <w:sz w:val="28"/>
          <w:szCs w:val="28"/>
        </w:rPr>
        <w:t xml:space="preserve"> фокусується увага на застосуванн</w:t>
      </w:r>
      <w:r w:rsidR="00F051F1" w:rsidRPr="00B046E5">
        <w:rPr>
          <w:i/>
          <w:iCs/>
          <w:spacing w:val="-2"/>
          <w:sz w:val="28"/>
          <w:szCs w:val="28"/>
        </w:rPr>
        <w:t>і</w:t>
      </w:r>
      <w:r w:rsidR="00D76CD6" w:rsidRPr="00B046E5">
        <w:rPr>
          <w:i/>
          <w:iCs/>
          <w:spacing w:val="-2"/>
          <w:sz w:val="28"/>
          <w:szCs w:val="28"/>
        </w:rPr>
        <w:t xml:space="preserve"> біржових інструментів ризик-менеджменту</w:t>
      </w:r>
      <w:r w:rsidR="00D76CD6" w:rsidRPr="00B046E5">
        <w:rPr>
          <w:b/>
          <w:bCs/>
          <w:i/>
          <w:iCs/>
          <w:spacing w:val="-2"/>
          <w:sz w:val="28"/>
          <w:szCs w:val="28"/>
        </w:rPr>
        <w:t xml:space="preserve"> </w:t>
      </w:r>
      <w:r w:rsidR="00D76CD6" w:rsidRPr="00B046E5">
        <w:rPr>
          <w:i/>
          <w:iCs/>
          <w:sz w:val="28"/>
          <w:szCs w:val="28"/>
        </w:rPr>
        <w:t>як механізмів їх зниження</w:t>
      </w:r>
      <w:r w:rsidR="00F051F1" w:rsidRPr="00B046E5">
        <w:rPr>
          <w:i/>
          <w:iCs/>
          <w:sz w:val="28"/>
          <w:szCs w:val="28"/>
        </w:rPr>
        <w:t xml:space="preserve">; </w:t>
      </w:r>
      <w:r w:rsidR="00D76CD6" w:rsidRPr="00B046E5">
        <w:rPr>
          <w:i/>
          <w:iCs/>
          <w:sz w:val="28"/>
          <w:szCs w:val="28"/>
        </w:rPr>
        <w:t>конкретиз</w:t>
      </w:r>
      <w:r w:rsidR="00F051F1" w:rsidRPr="00B046E5">
        <w:rPr>
          <w:i/>
          <w:iCs/>
          <w:sz w:val="28"/>
          <w:szCs w:val="28"/>
        </w:rPr>
        <w:t>ується дослідження аналіз</w:t>
      </w:r>
      <w:r w:rsidR="00AA19C5" w:rsidRPr="00B046E5">
        <w:rPr>
          <w:i/>
          <w:iCs/>
          <w:sz w:val="28"/>
          <w:szCs w:val="28"/>
        </w:rPr>
        <w:t>ом</w:t>
      </w:r>
      <w:r w:rsidR="00F051F1" w:rsidRPr="00B046E5">
        <w:rPr>
          <w:i/>
          <w:iCs/>
          <w:sz w:val="28"/>
          <w:szCs w:val="28"/>
        </w:rPr>
        <w:t xml:space="preserve"> біржових і</w:t>
      </w:r>
      <w:r w:rsidR="00D76CD6" w:rsidRPr="00B046E5">
        <w:rPr>
          <w:i/>
          <w:iCs/>
          <w:sz w:val="28"/>
          <w:szCs w:val="28"/>
        </w:rPr>
        <w:t xml:space="preserve"> </w:t>
      </w:r>
      <w:proofErr w:type="spellStart"/>
      <w:r w:rsidR="00D76CD6" w:rsidRPr="00B046E5">
        <w:rPr>
          <w:i/>
          <w:iCs/>
          <w:sz w:val="28"/>
          <w:szCs w:val="28"/>
        </w:rPr>
        <w:t>небіржових</w:t>
      </w:r>
      <w:proofErr w:type="spellEnd"/>
      <w:r w:rsidR="00D76CD6" w:rsidRPr="00B046E5">
        <w:rPr>
          <w:i/>
          <w:iCs/>
          <w:sz w:val="28"/>
          <w:szCs w:val="28"/>
        </w:rPr>
        <w:t xml:space="preserve"> інструмент</w:t>
      </w:r>
      <w:r w:rsidR="00AA19C5" w:rsidRPr="00B046E5">
        <w:rPr>
          <w:i/>
          <w:iCs/>
          <w:sz w:val="28"/>
          <w:szCs w:val="28"/>
        </w:rPr>
        <w:t>ів</w:t>
      </w:r>
      <w:r w:rsidR="00D76CD6" w:rsidRPr="00B046E5">
        <w:rPr>
          <w:i/>
          <w:iCs/>
          <w:sz w:val="28"/>
          <w:szCs w:val="28"/>
        </w:rPr>
        <w:t xml:space="preserve"> як елемент</w:t>
      </w:r>
      <w:r w:rsidR="00AA19C5" w:rsidRPr="00B046E5">
        <w:rPr>
          <w:i/>
          <w:iCs/>
          <w:sz w:val="28"/>
          <w:szCs w:val="28"/>
        </w:rPr>
        <w:t>ів</w:t>
      </w:r>
      <w:r w:rsidR="00D76CD6" w:rsidRPr="00B046E5">
        <w:rPr>
          <w:i/>
          <w:iCs/>
          <w:sz w:val="28"/>
          <w:szCs w:val="28"/>
        </w:rPr>
        <w:t xml:space="preserve"> системи біржового ризик-менеджменту</w:t>
      </w:r>
      <w:r w:rsidR="00F051F1" w:rsidRPr="00B046E5">
        <w:rPr>
          <w:i/>
          <w:iCs/>
          <w:sz w:val="28"/>
          <w:szCs w:val="28"/>
        </w:rPr>
        <w:t xml:space="preserve"> та перевагах їх використання</w:t>
      </w:r>
    </w:p>
    <w:p w:rsidR="00607D10" w:rsidRPr="00B046E5" w:rsidRDefault="00607D10" w:rsidP="0090222E">
      <w:pPr>
        <w:spacing w:after="0" w:line="276" w:lineRule="auto"/>
        <w:jc w:val="both"/>
        <w:rPr>
          <w:i/>
          <w:iCs/>
          <w:sz w:val="28"/>
          <w:szCs w:val="28"/>
        </w:rPr>
      </w:pPr>
      <w:r w:rsidRPr="00B046E5">
        <w:rPr>
          <w:b/>
          <w:bCs/>
          <w:i/>
          <w:iCs/>
          <w:sz w:val="28"/>
          <w:szCs w:val="28"/>
        </w:rPr>
        <w:t>Ключові слова:</w:t>
      </w:r>
      <w:r w:rsidR="00F051F1" w:rsidRPr="00B046E5">
        <w:rPr>
          <w:b/>
          <w:bCs/>
          <w:i/>
          <w:iCs/>
          <w:sz w:val="28"/>
          <w:szCs w:val="28"/>
        </w:rPr>
        <w:t xml:space="preserve"> </w:t>
      </w:r>
      <w:r w:rsidR="00F051F1" w:rsidRPr="00B046E5">
        <w:rPr>
          <w:i/>
          <w:iCs/>
          <w:sz w:val="28"/>
          <w:szCs w:val="28"/>
        </w:rPr>
        <w:t xml:space="preserve">ризик-менеджмент, біржові інструменти, </w:t>
      </w:r>
      <w:proofErr w:type="spellStart"/>
      <w:r w:rsidR="00F051F1" w:rsidRPr="00B046E5">
        <w:rPr>
          <w:i/>
          <w:iCs/>
          <w:sz w:val="28"/>
          <w:szCs w:val="28"/>
        </w:rPr>
        <w:t>небіржові</w:t>
      </w:r>
      <w:proofErr w:type="spellEnd"/>
      <w:r w:rsidR="00F051F1" w:rsidRPr="00B046E5">
        <w:rPr>
          <w:i/>
          <w:iCs/>
          <w:sz w:val="28"/>
          <w:szCs w:val="28"/>
        </w:rPr>
        <w:t xml:space="preserve"> інструменти, біржова торгівля, сільськогосподарська продукція</w:t>
      </w:r>
    </w:p>
    <w:p w:rsidR="00B046E5" w:rsidRDefault="00B046E5" w:rsidP="0090222E">
      <w:pPr>
        <w:spacing w:after="0" w:line="276" w:lineRule="auto"/>
        <w:jc w:val="both"/>
        <w:rPr>
          <w:sz w:val="28"/>
          <w:szCs w:val="28"/>
          <w:lang w:val="ru-RU"/>
        </w:rPr>
      </w:pPr>
    </w:p>
    <w:p w:rsidR="00453582" w:rsidRPr="009B1781" w:rsidRDefault="009B1781" w:rsidP="0090222E">
      <w:pPr>
        <w:bidi/>
        <w:spacing w:after="0" w:line="276" w:lineRule="auto"/>
        <w:rPr>
          <w:b/>
          <w:bCs/>
          <w:sz w:val="28"/>
          <w:szCs w:val="28"/>
          <w:lang w:val="ru-RU"/>
        </w:rPr>
      </w:pPr>
      <w:r w:rsidRPr="009B1781">
        <w:rPr>
          <w:b/>
          <w:bCs/>
          <w:sz w:val="28"/>
          <w:szCs w:val="28"/>
          <w:lang w:val="ru-RU"/>
        </w:rPr>
        <w:t>СИДОРЕНКО ОКСАНА ВАСИЛЬЕВНА</w:t>
      </w:r>
    </w:p>
    <w:p w:rsidR="009B1781" w:rsidRDefault="00734970" w:rsidP="00734970">
      <w:pPr>
        <w:bidi/>
        <w:spacing w:after="0" w:line="276" w:lineRule="auto"/>
        <w:rPr>
          <w:sz w:val="28"/>
          <w:szCs w:val="28"/>
          <w:lang w:val="ru-RU"/>
        </w:rPr>
      </w:pPr>
      <w:r>
        <w:rPr>
          <w:sz w:val="28"/>
          <w:szCs w:val="28"/>
          <w:lang w:val="ru-RU"/>
        </w:rPr>
        <w:t>к</w:t>
      </w:r>
      <w:r w:rsidR="009B1781">
        <w:rPr>
          <w:sz w:val="28"/>
          <w:szCs w:val="28"/>
          <w:lang w:val="ru-RU"/>
        </w:rPr>
        <w:t>андидат экономических наук, доцент</w:t>
      </w:r>
    </w:p>
    <w:p w:rsidR="009B1781" w:rsidRDefault="009B1781" w:rsidP="0090222E">
      <w:pPr>
        <w:bidi/>
        <w:spacing w:after="0" w:line="276" w:lineRule="auto"/>
        <w:rPr>
          <w:sz w:val="28"/>
          <w:szCs w:val="28"/>
          <w:lang w:val="ru-RU"/>
        </w:rPr>
      </w:pPr>
      <w:r>
        <w:rPr>
          <w:sz w:val="28"/>
          <w:szCs w:val="28"/>
          <w:lang w:val="ru-RU"/>
        </w:rPr>
        <w:t>Национальный университет биоресурсов и природопользования Украины</w:t>
      </w:r>
    </w:p>
    <w:p w:rsidR="009B1781" w:rsidRPr="00B046E5" w:rsidRDefault="009B1781" w:rsidP="0090222E">
      <w:pPr>
        <w:bidi/>
        <w:spacing w:after="0" w:line="276" w:lineRule="auto"/>
        <w:jc w:val="center"/>
        <w:rPr>
          <w:b/>
          <w:bCs/>
          <w:sz w:val="28"/>
          <w:szCs w:val="28"/>
          <w:lang w:val="ru-RU"/>
        </w:rPr>
      </w:pPr>
      <w:r w:rsidRPr="009B1781">
        <w:rPr>
          <w:b/>
          <w:bCs/>
          <w:sz w:val="28"/>
          <w:szCs w:val="28"/>
          <w:lang w:val="ru-RU"/>
        </w:rPr>
        <w:t xml:space="preserve">ИНСТРУМЕНТЫ УПРАВЛЕНИЯ РИСКАМИ В БИРЖЕВОЙ ТОРГОВЛЕ </w:t>
      </w:r>
      <w:r w:rsidR="00B046E5">
        <w:rPr>
          <w:b/>
          <w:bCs/>
          <w:sz w:val="28"/>
          <w:szCs w:val="28"/>
          <w:lang w:val="ru-RU"/>
        </w:rPr>
        <w:t>СЕЛЬХОЗПРОДУКЦИЕЙ</w:t>
      </w:r>
    </w:p>
    <w:p w:rsidR="00607D10" w:rsidRPr="00B046E5" w:rsidRDefault="00607D10" w:rsidP="0090222E">
      <w:pPr>
        <w:spacing w:after="0" w:line="276" w:lineRule="auto"/>
        <w:jc w:val="both"/>
        <w:rPr>
          <w:i/>
          <w:iCs/>
          <w:sz w:val="28"/>
          <w:szCs w:val="28"/>
          <w:lang w:val="ru-RU"/>
        </w:rPr>
      </w:pPr>
      <w:r w:rsidRPr="00B046E5">
        <w:rPr>
          <w:i/>
          <w:iCs/>
          <w:sz w:val="28"/>
          <w:szCs w:val="28"/>
          <w:lang w:val="ru-RU"/>
        </w:rPr>
        <w:t>Аннотация</w:t>
      </w:r>
      <w:r w:rsidRPr="00B046E5">
        <w:rPr>
          <w:b/>
          <w:bCs/>
          <w:i/>
          <w:iCs/>
          <w:sz w:val="28"/>
          <w:szCs w:val="28"/>
          <w:lang w:val="ru-RU"/>
        </w:rPr>
        <w:t>:</w:t>
      </w:r>
      <w:r w:rsidR="00F051F1" w:rsidRPr="00B046E5">
        <w:rPr>
          <w:b/>
          <w:bCs/>
          <w:i/>
          <w:iCs/>
          <w:sz w:val="28"/>
          <w:szCs w:val="28"/>
          <w:lang w:val="ru-RU"/>
        </w:rPr>
        <w:t xml:space="preserve"> </w:t>
      </w:r>
      <w:r w:rsidR="00F051F1" w:rsidRPr="00B046E5">
        <w:rPr>
          <w:i/>
          <w:iCs/>
          <w:sz w:val="28"/>
          <w:szCs w:val="28"/>
          <w:lang w:val="ru-RU"/>
        </w:rPr>
        <w:t>в статье рассматриваются проблемы</w:t>
      </w:r>
      <w:r w:rsidR="00F051F1" w:rsidRPr="00B046E5">
        <w:rPr>
          <w:b/>
          <w:bCs/>
          <w:i/>
          <w:iCs/>
          <w:sz w:val="28"/>
          <w:szCs w:val="28"/>
          <w:lang w:val="ru-RU"/>
        </w:rPr>
        <w:t xml:space="preserve"> </w:t>
      </w:r>
      <w:r w:rsidR="00F051F1" w:rsidRPr="00B046E5">
        <w:rPr>
          <w:i/>
          <w:iCs/>
          <w:sz w:val="28"/>
          <w:szCs w:val="28"/>
          <w:lang w:val="ru-RU"/>
        </w:rPr>
        <w:t xml:space="preserve">управления рисками торговли сельхозпродукции; сфокусировано внимание на изучении возможностей  использования биржевых  инструментов как механизмов их снижения; конкретизируется исследование </w:t>
      </w:r>
      <w:r w:rsidR="00AA19C5" w:rsidRPr="00B046E5">
        <w:rPr>
          <w:i/>
          <w:iCs/>
          <w:sz w:val="28"/>
          <w:szCs w:val="28"/>
          <w:lang w:val="ru-RU"/>
        </w:rPr>
        <w:t xml:space="preserve">в </w:t>
      </w:r>
      <w:r w:rsidR="00F051F1" w:rsidRPr="00B046E5">
        <w:rPr>
          <w:i/>
          <w:iCs/>
          <w:sz w:val="28"/>
          <w:szCs w:val="28"/>
          <w:lang w:val="ru-RU"/>
        </w:rPr>
        <w:t>анал</w:t>
      </w:r>
      <w:r w:rsidR="00AA19C5" w:rsidRPr="00B046E5">
        <w:rPr>
          <w:i/>
          <w:iCs/>
          <w:sz w:val="28"/>
          <w:szCs w:val="28"/>
          <w:lang w:val="ru-RU"/>
        </w:rPr>
        <w:t>изе</w:t>
      </w:r>
      <w:r w:rsidR="00F051F1" w:rsidRPr="00B046E5">
        <w:rPr>
          <w:i/>
          <w:iCs/>
          <w:sz w:val="28"/>
          <w:szCs w:val="28"/>
          <w:lang w:val="ru-RU"/>
        </w:rPr>
        <w:t xml:space="preserve"> биржевых и </w:t>
      </w:r>
      <w:proofErr w:type="spellStart"/>
      <w:r w:rsidR="00F051F1" w:rsidRPr="00B046E5">
        <w:rPr>
          <w:i/>
          <w:iCs/>
          <w:sz w:val="28"/>
          <w:szCs w:val="28"/>
          <w:lang w:val="ru-RU"/>
        </w:rPr>
        <w:t>небиржевых</w:t>
      </w:r>
      <w:proofErr w:type="spellEnd"/>
      <w:r w:rsidR="00F051F1" w:rsidRPr="00B046E5">
        <w:rPr>
          <w:i/>
          <w:iCs/>
          <w:sz w:val="28"/>
          <w:szCs w:val="28"/>
          <w:lang w:val="ru-RU"/>
        </w:rPr>
        <w:t xml:space="preserve"> инструментов как элементов системы биржевого </w:t>
      </w:r>
      <w:proofErr w:type="gramStart"/>
      <w:r w:rsidR="00F051F1" w:rsidRPr="00B046E5">
        <w:rPr>
          <w:i/>
          <w:iCs/>
          <w:sz w:val="28"/>
          <w:szCs w:val="28"/>
          <w:lang w:val="ru-RU"/>
        </w:rPr>
        <w:t>риск-менеджмента</w:t>
      </w:r>
      <w:proofErr w:type="gramEnd"/>
      <w:r w:rsidR="006E3667" w:rsidRPr="00B046E5">
        <w:rPr>
          <w:i/>
          <w:iCs/>
          <w:sz w:val="28"/>
          <w:szCs w:val="28"/>
          <w:lang w:val="ru-RU"/>
        </w:rPr>
        <w:t xml:space="preserve"> и преимуществ их использования</w:t>
      </w:r>
    </w:p>
    <w:p w:rsidR="00607D10" w:rsidRPr="00B046E5" w:rsidRDefault="00607D10" w:rsidP="0090222E">
      <w:pPr>
        <w:spacing w:after="0" w:line="276" w:lineRule="auto"/>
        <w:jc w:val="both"/>
        <w:rPr>
          <w:i/>
          <w:iCs/>
          <w:sz w:val="28"/>
          <w:szCs w:val="28"/>
          <w:lang w:val="ru-RU"/>
        </w:rPr>
      </w:pPr>
      <w:r w:rsidRPr="00B046E5">
        <w:rPr>
          <w:b/>
          <w:bCs/>
          <w:i/>
          <w:iCs/>
          <w:sz w:val="28"/>
          <w:szCs w:val="28"/>
          <w:lang w:val="ru-RU"/>
        </w:rPr>
        <w:t>Ключ</w:t>
      </w:r>
      <w:r w:rsidR="00F45F71" w:rsidRPr="00B046E5">
        <w:rPr>
          <w:b/>
          <w:bCs/>
          <w:i/>
          <w:iCs/>
          <w:sz w:val="28"/>
          <w:szCs w:val="28"/>
          <w:lang w:val="ru-RU"/>
        </w:rPr>
        <w:t>евые</w:t>
      </w:r>
      <w:r w:rsidRPr="00B046E5">
        <w:rPr>
          <w:b/>
          <w:bCs/>
          <w:i/>
          <w:iCs/>
          <w:sz w:val="28"/>
          <w:szCs w:val="28"/>
          <w:lang w:val="ru-RU"/>
        </w:rPr>
        <w:t xml:space="preserve"> слова:</w:t>
      </w:r>
      <w:r w:rsidR="00F45F71" w:rsidRPr="00B046E5">
        <w:rPr>
          <w:b/>
          <w:bCs/>
          <w:i/>
          <w:iCs/>
          <w:sz w:val="28"/>
          <w:szCs w:val="28"/>
          <w:lang w:val="ru-RU"/>
        </w:rPr>
        <w:t xml:space="preserve"> </w:t>
      </w:r>
      <w:r w:rsidR="00F051F1" w:rsidRPr="00B046E5">
        <w:rPr>
          <w:i/>
          <w:iCs/>
          <w:sz w:val="28"/>
          <w:szCs w:val="28"/>
          <w:lang w:val="ru-RU"/>
        </w:rPr>
        <w:t xml:space="preserve">риск-менеджмент, биржевые инструменты, </w:t>
      </w:r>
      <w:proofErr w:type="spellStart"/>
      <w:r w:rsidR="00F051F1" w:rsidRPr="00B046E5">
        <w:rPr>
          <w:i/>
          <w:iCs/>
          <w:sz w:val="28"/>
          <w:szCs w:val="28"/>
          <w:lang w:val="ru-RU"/>
        </w:rPr>
        <w:t>небиржевые</w:t>
      </w:r>
      <w:proofErr w:type="spellEnd"/>
      <w:r w:rsidR="00F051F1" w:rsidRPr="00B046E5">
        <w:rPr>
          <w:i/>
          <w:iCs/>
          <w:sz w:val="28"/>
          <w:szCs w:val="28"/>
          <w:lang w:val="ru-RU"/>
        </w:rPr>
        <w:t xml:space="preserve"> инстр</w:t>
      </w:r>
      <w:r w:rsidR="00F45F71" w:rsidRPr="00B046E5">
        <w:rPr>
          <w:i/>
          <w:iCs/>
          <w:sz w:val="28"/>
          <w:szCs w:val="28"/>
          <w:lang w:val="ru-RU"/>
        </w:rPr>
        <w:t>у</w:t>
      </w:r>
      <w:r w:rsidR="00F051F1" w:rsidRPr="00B046E5">
        <w:rPr>
          <w:i/>
          <w:iCs/>
          <w:sz w:val="28"/>
          <w:szCs w:val="28"/>
          <w:lang w:val="ru-RU"/>
        </w:rPr>
        <w:t>менты, биржевая торговля, сельхозпродукция</w:t>
      </w:r>
    </w:p>
    <w:p w:rsidR="00453582" w:rsidRDefault="00453582" w:rsidP="0090222E">
      <w:pPr>
        <w:spacing w:after="0" w:line="276" w:lineRule="auto"/>
        <w:jc w:val="both"/>
        <w:rPr>
          <w:b/>
          <w:bCs/>
          <w:sz w:val="28"/>
          <w:szCs w:val="28"/>
          <w:lang w:val="ru-RU"/>
        </w:rPr>
      </w:pPr>
    </w:p>
    <w:p w:rsidR="009B1781" w:rsidRDefault="00B046E5" w:rsidP="0090222E">
      <w:pPr>
        <w:bidi/>
        <w:spacing w:after="0" w:line="276" w:lineRule="auto"/>
        <w:jc w:val="both"/>
        <w:rPr>
          <w:b/>
          <w:bCs/>
          <w:sz w:val="28"/>
          <w:szCs w:val="28"/>
          <w:lang w:val="en-US"/>
        </w:rPr>
      </w:pPr>
      <w:r>
        <w:rPr>
          <w:b/>
          <w:bCs/>
          <w:sz w:val="28"/>
          <w:szCs w:val="28"/>
          <w:lang w:val="en-US"/>
        </w:rPr>
        <w:t>SYDORENKO OKSANA V</w:t>
      </w:r>
      <w:r w:rsidR="009B1781">
        <w:rPr>
          <w:b/>
          <w:bCs/>
          <w:sz w:val="28"/>
          <w:szCs w:val="28"/>
          <w:lang w:val="en-US"/>
        </w:rPr>
        <w:t>.</w:t>
      </w:r>
    </w:p>
    <w:p w:rsidR="009B1781" w:rsidRDefault="009B1781" w:rsidP="0090222E">
      <w:pPr>
        <w:bidi/>
        <w:spacing w:after="0" w:line="276" w:lineRule="auto"/>
        <w:jc w:val="both"/>
        <w:rPr>
          <w:b/>
          <w:bCs/>
          <w:sz w:val="28"/>
          <w:szCs w:val="28"/>
          <w:lang w:val="en-US"/>
        </w:rPr>
      </w:pPr>
      <w:r>
        <w:rPr>
          <w:b/>
          <w:bCs/>
          <w:sz w:val="28"/>
          <w:szCs w:val="28"/>
          <w:lang w:val="en-US"/>
        </w:rPr>
        <w:t>PhD, Associated Professor</w:t>
      </w:r>
    </w:p>
    <w:p w:rsidR="009B1781" w:rsidRDefault="009B1781" w:rsidP="0090222E">
      <w:pPr>
        <w:bidi/>
        <w:spacing w:after="0" w:line="276" w:lineRule="auto"/>
        <w:jc w:val="both"/>
        <w:rPr>
          <w:b/>
          <w:bCs/>
          <w:sz w:val="28"/>
          <w:szCs w:val="28"/>
          <w:lang w:val="en-US"/>
        </w:rPr>
      </w:pPr>
      <w:r w:rsidRPr="009B1781">
        <w:rPr>
          <w:b/>
          <w:bCs/>
          <w:sz w:val="28"/>
          <w:szCs w:val="28"/>
          <w:lang w:val="en-US"/>
        </w:rPr>
        <w:t>National University of Life and Environmental Sciences of Ukraine</w:t>
      </w:r>
    </w:p>
    <w:p w:rsidR="009B1781" w:rsidRPr="009B1781" w:rsidRDefault="00B046E5" w:rsidP="0090222E">
      <w:pPr>
        <w:spacing w:after="0" w:line="276" w:lineRule="auto"/>
        <w:jc w:val="center"/>
        <w:rPr>
          <w:b/>
          <w:bCs/>
          <w:sz w:val="28"/>
          <w:szCs w:val="28"/>
          <w:lang w:val="en-US"/>
        </w:rPr>
      </w:pPr>
      <w:r w:rsidRPr="00B046E5">
        <w:rPr>
          <w:b/>
          <w:bCs/>
          <w:sz w:val="28"/>
          <w:szCs w:val="28"/>
          <w:lang w:val="en-US"/>
        </w:rPr>
        <w:t>INSTRUMENTS OF R</w:t>
      </w:r>
      <w:r>
        <w:rPr>
          <w:b/>
          <w:bCs/>
          <w:sz w:val="28"/>
          <w:szCs w:val="28"/>
          <w:lang w:val="en-US"/>
        </w:rPr>
        <w:t>ISK MANAGEMENT IN EXCHANGE TRADING</w:t>
      </w:r>
      <w:r w:rsidRPr="00B046E5">
        <w:rPr>
          <w:b/>
          <w:bCs/>
          <w:sz w:val="28"/>
          <w:szCs w:val="28"/>
          <w:lang w:val="en-US"/>
        </w:rPr>
        <w:t xml:space="preserve"> </w:t>
      </w:r>
      <w:r>
        <w:rPr>
          <w:b/>
          <w:bCs/>
          <w:sz w:val="28"/>
          <w:szCs w:val="28"/>
          <w:lang w:val="en-US"/>
        </w:rPr>
        <w:t>OF</w:t>
      </w:r>
      <w:r w:rsidRPr="00B046E5">
        <w:rPr>
          <w:b/>
          <w:bCs/>
          <w:sz w:val="28"/>
          <w:szCs w:val="28"/>
          <w:lang w:val="en-US"/>
        </w:rPr>
        <w:t xml:space="preserve"> AGRICULTURAL PRODUCTS</w:t>
      </w:r>
    </w:p>
    <w:p w:rsidR="001E1792" w:rsidRPr="00B046E5" w:rsidRDefault="00AA19C5" w:rsidP="0008352D">
      <w:pPr>
        <w:spacing w:after="0" w:line="276" w:lineRule="auto"/>
        <w:jc w:val="both"/>
        <w:rPr>
          <w:i/>
          <w:iCs/>
          <w:spacing w:val="-2"/>
          <w:sz w:val="28"/>
          <w:szCs w:val="28"/>
          <w:lang w:val="en-US"/>
        </w:rPr>
      </w:pPr>
      <w:r w:rsidRPr="00B046E5">
        <w:rPr>
          <w:i/>
          <w:iCs/>
          <w:sz w:val="28"/>
          <w:szCs w:val="28"/>
          <w:lang w:val="en-US"/>
        </w:rPr>
        <w:t>Annotation</w:t>
      </w:r>
      <w:r w:rsidR="00453582" w:rsidRPr="00B046E5">
        <w:rPr>
          <w:i/>
          <w:iCs/>
          <w:sz w:val="28"/>
          <w:szCs w:val="28"/>
          <w:lang w:val="en-US"/>
        </w:rPr>
        <w:t>:</w:t>
      </w:r>
      <w:r w:rsidR="00453582" w:rsidRPr="00B046E5">
        <w:rPr>
          <w:b/>
          <w:bCs/>
          <w:i/>
          <w:iCs/>
          <w:sz w:val="28"/>
          <w:szCs w:val="28"/>
          <w:lang w:val="en-US"/>
        </w:rPr>
        <w:t xml:space="preserve"> </w:t>
      </w:r>
      <w:r w:rsidR="001E1792" w:rsidRPr="00B046E5">
        <w:rPr>
          <w:i/>
          <w:iCs/>
          <w:sz w:val="28"/>
          <w:szCs w:val="28"/>
          <w:lang w:val="en-US"/>
        </w:rPr>
        <w:t>in the article</w:t>
      </w:r>
      <w:r w:rsidR="001E1792" w:rsidRPr="00B046E5">
        <w:rPr>
          <w:b/>
          <w:bCs/>
          <w:i/>
          <w:iCs/>
          <w:sz w:val="28"/>
          <w:szCs w:val="28"/>
          <w:lang w:val="en-US"/>
        </w:rPr>
        <w:t xml:space="preserve"> </w:t>
      </w:r>
      <w:r w:rsidR="001E1792" w:rsidRPr="00B046E5">
        <w:rPr>
          <w:i/>
          <w:iCs/>
          <w:color w:val="222222"/>
          <w:sz w:val="28"/>
          <w:szCs w:val="28"/>
          <w:shd w:val="clear" w:color="auto" w:fill="FDFDFD"/>
          <w:lang w:val="en-US"/>
        </w:rPr>
        <w:t>considers</w:t>
      </w:r>
      <w:r w:rsidR="001E1792" w:rsidRPr="00B046E5">
        <w:rPr>
          <w:i/>
          <w:iCs/>
          <w:spacing w:val="-2"/>
          <w:sz w:val="28"/>
          <w:szCs w:val="28"/>
          <w:lang w:val="en-US"/>
        </w:rPr>
        <w:t xml:space="preserve"> the problem of risk management </w:t>
      </w:r>
      <w:r w:rsidR="0008352D" w:rsidRPr="00B046E5">
        <w:rPr>
          <w:i/>
          <w:iCs/>
          <w:spacing w:val="-2"/>
          <w:sz w:val="28"/>
          <w:szCs w:val="28"/>
          <w:lang w:val="en-US"/>
        </w:rPr>
        <w:t>in trading of agricultural products</w:t>
      </w:r>
      <w:r w:rsidR="001E1792" w:rsidRPr="00B046E5">
        <w:rPr>
          <w:i/>
          <w:iCs/>
          <w:spacing w:val="-2"/>
          <w:sz w:val="28"/>
          <w:szCs w:val="28"/>
          <w:lang w:val="en-US"/>
        </w:rPr>
        <w:t xml:space="preserve">; </w:t>
      </w:r>
      <w:r w:rsidR="0008352D" w:rsidRPr="00B046E5">
        <w:rPr>
          <w:i/>
          <w:iCs/>
          <w:spacing w:val="-2"/>
          <w:sz w:val="28"/>
          <w:szCs w:val="28"/>
          <w:lang w:val="en-US"/>
        </w:rPr>
        <w:t>attention is focused on the application of the exchange</w:t>
      </w:r>
      <w:r w:rsidR="00734970">
        <w:rPr>
          <w:i/>
          <w:iCs/>
          <w:spacing w:val="-2"/>
          <w:sz w:val="28"/>
          <w:szCs w:val="28"/>
          <w:lang w:val="en-US"/>
        </w:rPr>
        <w:t>s</w:t>
      </w:r>
      <w:r w:rsidR="0008352D" w:rsidRPr="00B046E5">
        <w:rPr>
          <w:i/>
          <w:iCs/>
          <w:spacing w:val="-2"/>
          <w:sz w:val="28"/>
          <w:szCs w:val="28"/>
          <w:lang w:val="en-US"/>
        </w:rPr>
        <w:t xml:space="preserve"> </w:t>
      </w:r>
      <w:r w:rsidR="001E1792" w:rsidRPr="00B046E5">
        <w:rPr>
          <w:i/>
          <w:iCs/>
          <w:spacing w:val="-2"/>
          <w:sz w:val="28"/>
          <w:szCs w:val="28"/>
          <w:lang w:val="en-US"/>
        </w:rPr>
        <w:t xml:space="preserve">instruments of risk management as the mechanisms to reduce them; </w:t>
      </w:r>
      <w:r w:rsidR="0008352D" w:rsidRPr="00B046E5">
        <w:rPr>
          <w:i/>
          <w:iCs/>
          <w:spacing w:val="-2"/>
          <w:sz w:val="28"/>
          <w:szCs w:val="28"/>
          <w:lang w:val="en-US"/>
        </w:rPr>
        <w:t xml:space="preserve">specify the </w:t>
      </w:r>
      <w:r w:rsidR="0008352D" w:rsidRPr="00B046E5">
        <w:rPr>
          <w:i/>
          <w:iCs/>
          <w:spacing w:val="-2"/>
          <w:sz w:val="28"/>
          <w:szCs w:val="28"/>
          <w:lang w:val="en-US"/>
        </w:rPr>
        <w:lastRenderedPageBreak/>
        <w:t>research on the analysis of exchange-traded and OTC instruments as elements of the system of exchange risk management and the benefits of their use</w:t>
      </w:r>
    </w:p>
    <w:p w:rsidR="001E1792" w:rsidRPr="00B046E5" w:rsidRDefault="001E1792" w:rsidP="00734970">
      <w:pPr>
        <w:spacing w:after="0" w:line="276" w:lineRule="auto"/>
        <w:jc w:val="both"/>
        <w:rPr>
          <w:i/>
          <w:iCs/>
          <w:spacing w:val="-2"/>
          <w:sz w:val="28"/>
          <w:szCs w:val="28"/>
          <w:lang w:val="en-US"/>
        </w:rPr>
      </w:pPr>
      <w:r w:rsidRPr="00B046E5">
        <w:rPr>
          <w:b/>
          <w:bCs/>
          <w:i/>
          <w:iCs/>
          <w:spacing w:val="-2"/>
          <w:sz w:val="28"/>
          <w:szCs w:val="28"/>
          <w:lang w:val="en-US"/>
        </w:rPr>
        <w:t>Key words</w:t>
      </w:r>
      <w:r w:rsidRPr="00B046E5">
        <w:rPr>
          <w:i/>
          <w:iCs/>
          <w:spacing w:val="-2"/>
          <w:sz w:val="28"/>
          <w:szCs w:val="28"/>
          <w:lang w:val="en-US"/>
        </w:rPr>
        <w:t>: risk management, exchange</w:t>
      </w:r>
      <w:r w:rsidR="00734970">
        <w:rPr>
          <w:i/>
          <w:iCs/>
          <w:spacing w:val="-2"/>
          <w:sz w:val="28"/>
          <w:szCs w:val="28"/>
          <w:lang w:val="en-US"/>
        </w:rPr>
        <w:t>s</w:t>
      </w:r>
      <w:r w:rsidRPr="00B046E5">
        <w:rPr>
          <w:i/>
          <w:iCs/>
          <w:spacing w:val="-2"/>
          <w:sz w:val="28"/>
          <w:szCs w:val="28"/>
          <w:lang w:val="en-US"/>
        </w:rPr>
        <w:t xml:space="preserve"> instruments</w:t>
      </w:r>
      <w:r w:rsidR="0008352D" w:rsidRPr="00B046E5">
        <w:rPr>
          <w:i/>
          <w:iCs/>
          <w:spacing w:val="-2"/>
          <w:sz w:val="28"/>
          <w:szCs w:val="28"/>
          <w:lang w:val="en-US"/>
        </w:rPr>
        <w:t>,</w:t>
      </w:r>
      <w:r w:rsidRPr="00B046E5">
        <w:rPr>
          <w:i/>
          <w:iCs/>
          <w:spacing w:val="-2"/>
          <w:sz w:val="28"/>
          <w:szCs w:val="28"/>
          <w:lang w:val="en-US"/>
        </w:rPr>
        <w:t xml:space="preserve"> </w:t>
      </w:r>
      <w:r w:rsidR="0008352D" w:rsidRPr="00B046E5">
        <w:rPr>
          <w:i/>
          <w:iCs/>
          <w:spacing w:val="-2"/>
          <w:sz w:val="28"/>
          <w:szCs w:val="28"/>
          <w:lang w:val="en-US"/>
        </w:rPr>
        <w:t xml:space="preserve">OTC </w:t>
      </w:r>
      <w:r w:rsidRPr="00B046E5">
        <w:rPr>
          <w:i/>
          <w:iCs/>
          <w:spacing w:val="-2"/>
          <w:sz w:val="28"/>
          <w:szCs w:val="28"/>
          <w:lang w:val="en-US"/>
        </w:rPr>
        <w:t>instruments,</w:t>
      </w:r>
      <w:r w:rsidR="00734970" w:rsidRPr="00734970">
        <w:rPr>
          <w:i/>
          <w:iCs/>
          <w:spacing w:val="-2"/>
          <w:sz w:val="28"/>
          <w:szCs w:val="28"/>
          <w:lang w:val="en-US"/>
        </w:rPr>
        <w:t xml:space="preserve"> </w:t>
      </w:r>
      <w:r w:rsidR="00734970" w:rsidRPr="00B046E5">
        <w:rPr>
          <w:i/>
          <w:iCs/>
          <w:spacing w:val="-2"/>
          <w:sz w:val="28"/>
          <w:szCs w:val="28"/>
          <w:lang w:val="en-US"/>
        </w:rPr>
        <w:t>exchange</w:t>
      </w:r>
      <w:r w:rsidR="00734970">
        <w:rPr>
          <w:i/>
          <w:iCs/>
          <w:spacing w:val="-2"/>
          <w:sz w:val="28"/>
          <w:szCs w:val="28"/>
          <w:lang w:val="en-US"/>
        </w:rPr>
        <w:t>s</w:t>
      </w:r>
      <w:r w:rsidRPr="00B046E5">
        <w:rPr>
          <w:i/>
          <w:iCs/>
          <w:spacing w:val="-2"/>
          <w:sz w:val="28"/>
          <w:szCs w:val="28"/>
          <w:lang w:val="en-US"/>
        </w:rPr>
        <w:t xml:space="preserve"> trade, </w:t>
      </w:r>
      <w:r w:rsidR="00734970" w:rsidRPr="00734970">
        <w:rPr>
          <w:i/>
          <w:iCs/>
          <w:spacing w:val="-2"/>
          <w:sz w:val="28"/>
          <w:szCs w:val="28"/>
          <w:lang w:val="en-US"/>
        </w:rPr>
        <w:t>agricultural products</w:t>
      </w:r>
    </w:p>
    <w:p w:rsidR="001E1792" w:rsidRPr="001E1792" w:rsidRDefault="001E1792" w:rsidP="001E1792">
      <w:pPr>
        <w:spacing w:after="0" w:line="276" w:lineRule="auto"/>
        <w:jc w:val="both"/>
        <w:rPr>
          <w:spacing w:val="-2"/>
          <w:sz w:val="28"/>
          <w:szCs w:val="28"/>
          <w:lang w:val="en-US"/>
        </w:rPr>
      </w:pPr>
    </w:p>
    <w:p w:rsidR="002223EC" w:rsidRPr="001E1792" w:rsidRDefault="00607D10" w:rsidP="00C71B5C">
      <w:pPr>
        <w:spacing w:after="0" w:line="360" w:lineRule="auto"/>
        <w:ind w:firstLine="454"/>
        <w:jc w:val="both"/>
        <w:rPr>
          <w:spacing w:val="-2"/>
          <w:sz w:val="28"/>
          <w:szCs w:val="28"/>
        </w:rPr>
      </w:pPr>
      <w:r w:rsidRPr="001E1792">
        <w:rPr>
          <w:b/>
          <w:bCs/>
          <w:sz w:val="28"/>
          <w:szCs w:val="28"/>
        </w:rPr>
        <w:t>Постановка проблеми.</w:t>
      </w:r>
      <w:r w:rsidR="002223EC" w:rsidRPr="001E1792">
        <w:rPr>
          <w:b/>
          <w:bCs/>
          <w:sz w:val="28"/>
          <w:szCs w:val="28"/>
        </w:rPr>
        <w:t xml:space="preserve"> </w:t>
      </w:r>
      <w:r w:rsidR="002223EC" w:rsidRPr="001E1792">
        <w:rPr>
          <w:spacing w:val="-2"/>
          <w:sz w:val="28"/>
          <w:szCs w:val="28"/>
        </w:rPr>
        <w:t xml:space="preserve">Усі господарські операції спрямовані на отримання певного рівня вигоди чи доходності. Але бажаних результатів не завжди вдається досягнути. </w:t>
      </w:r>
      <w:r w:rsidR="00CF74F7">
        <w:rPr>
          <w:spacing w:val="-2"/>
          <w:sz w:val="28"/>
          <w:szCs w:val="28"/>
        </w:rPr>
        <w:t xml:space="preserve">Однією з причини цього </w:t>
      </w:r>
      <w:r w:rsidR="002223EC" w:rsidRPr="001E1792">
        <w:rPr>
          <w:spacing w:val="-2"/>
          <w:sz w:val="28"/>
          <w:szCs w:val="28"/>
        </w:rPr>
        <w:t xml:space="preserve">є ризики, </w:t>
      </w:r>
      <w:r w:rsidR="00C51AB7" w:rsidRPr="001E1792">
        <w:rPr>
          <w:spacing w:val="-2"/>
          <w:sz w:val="28"/>
          <w:szCs w:val="28"/>
        </w:rPr>
        <w:t>що</w:t>
      </w:r>
      <w:r w:rsidR="002223EC" w:rsidRPr="001E1792">
        <w:rPr>
          <w:spacing w:val="-2"/>
          <w:sz w:val="28"/>
          <w:szCs w:val="28"/>
        </w:rPr>
        <w:t xml:space="preserve"> супроводжують господарські процеси. </w:t>
      </w:r>
      <w:r w:rsidR="000D6DC8" w:rsidRPr="001E1792">
        <w:rPr>
          <w:spacing w:val="-2"/>
          <w:sz w:val="28"/>
          <w:szCs w:val="28"/>
        </w:rPr>
        <w:t xml:space="preserve">Тому здатність розуміти </w:t>
      </w:r>
      <w:r w:rsidR="00526A9B" w:rsidRPr="001E1792">
        <w:rPr>
          <w:spacing w:val="-2"/>
          <w:sz w:val="28"/>
          <w:szCs w:val="28"/>
        </w:rPr>
        <w:t xml:space="preserve">їх </w:t>
      </w:r>
      <w:r w:rsidR="000D6DC8" w:rsidRPr="001E1792">
        <w:rPr>
          <w:spacing w:val="-2"/>
          <w:sz w:val="28"/>
          <w:szCs w:val="28"/>
        </w:rPr>
        <w:t xml:space="preserve">причини, розробляти механізми </w:t>
      </w:r>
      <w:r w:rsidR="00CF74F7">
        <w:rPr>
          <w:spacing w:val="-2"/>
          <w:sz w:val="28"/>
          <w:szCs w:val="28"/>
        </w:rPr>
        <w:t xml:space="preserve">їх </w:t>
      </w:r>
      <w:r w:rsidR="000D6DC8" w:rsidRPr="001E1792">
        <w:rPr>
          <w:spacing w:val="-2"/>
          <w:sz w:val="28"/>
          <w:szCs w:val="28"/>
        </w:rPr>
        <w:t xml:space="preserve">попередження, усунення чи послаблення, є одним з джерел збереження </w:t>
      </w:r>
      <w:r w:rsidR="00526A9B" w:rsidRPr="001E1792">
        <w:rPr>
          <w:spacing w:val="-2"/>
          <w:sz w:val="28"/>
          <w:szCs w:val="28"/>
        </w:rPr>
        <w:t xml:space="preserve">ефективності </w:t>
      </w:r>
      <w:r w:rsidR="00CF74F7">
        <w:rPr>
          <w:spacing w:val="-2"/>
          <w:sz w:val="28"/>
          <w:szCs w:val="28"/>
        </w:rPr>
        <w:t>і</w:t>
      </w:r>
      <w:r w:rsidR="00526A9B" w:rsidRPr="001E1792">
        <w:rPr>
          <w:spacing w:val="-2"/>
          <w:sz w:val="28"/>
          <w:szCs w:val="28"/>
        </w:rPr>
        <w:t xml:space="preserve"> </w:t>
      </w:r>
      <w:r w:rsidR="000D6DC8" w:rsidRPr="001E1792">
        <w:rPr>
          <w:spacing w:val="-2"/>
          <w:sz w:val="28"/>
          <w:szCs w:val="28"/>
        </w:rPr>
        <w:t xml:space="preserve">конкурентоздатності господарств, </w:t>
      </w:r>
      <w:r w:rsidR="00C71B5C">
        <w:rPr>
          <w:spacing w:val="-2"/>
          <w:sz w:val="28"/>
          <w:szCs w:val="28"/>
        </w:rPr>
        <w:t xml:space="preserve">умовою </w:t>
      </w:r>
      <w:r w:rsidR="000D6DC8" w:rsidRPr="001E1792">
        <w:rPr>
          <w:spacing w:val="-2"/>
          <w:sz w:val="28"/>
          <w:szCs w:val="28"/>
        </w:rPr>
        <w:t>розвитку.</w:t>
      </w:r>
    </w:p>
    <w:p w:rsidR="0031514D" w:rsidRPr="001E1792" w:rsidRDefault="00D13812" w:rsidP="00F57826">
      <w:pPr>
        <w:spacing w:after="0" w:line="360" w:lineRule="auto"/>
        <w:ind w:firstLine="709"/>
        <w:jc w:val="both"/>
        <w:rPr>
          <w:spacing w:val="-2"/>
          <w:sz w:val="28"/>
          <w:szCs w:val="28"/>
        </w:rPr>
      </w:pPr>
      <w:r>
        <w:rPr>
          <w:spacing w:val="-2"/>
          <w:sz w:val="28"/>
          <w:szCs w:val="28"/>
        </w:rPr>
        <w:t>Проте в Україні механізми ризик-менеджменту не надто популярні серед сільгоспвиробників. З</w:t>
      </w:r>
      <w:r w:rsidR="0031514D" w:rsidRPr="001E1792">
        <w:rPr>
          <w:spacing w:val="-2"/>
          <w:sz w:val="28"/>
          <w:szCs w:val="28"/>
        </w:rPr>
        <w:t xml:space="preserve">начну увагу </w:t>
      </w:r>
      <w:r>
        <w:rPr>
          <w:spacing w:val="-2"/>
          <w:sz w:val="28"/>
          <w:szCs w:val="28"/>
        </w:rPr>
        <w:t xml:space="preserve">вони </w:t>
      </w:r>
      <w:r w:rsidR="0031514D" w:rsidRPr="001E1792">
        <w:rPr>
          <w:spacing w:val="-2"/>
          <w:sz w:val="28"/>
          <w:szCs w:val="28"/>
        </w:rPr>
        <w:t>приділяють виробничим ризикам, і майже не зважають на</w:t>
      </w:r>
      <w:r w:rsidR="00526A9B" w:rsidRPr="001E1792">
        <w:rPr>
          <w:spacing w:val="-2"/>
          <w:sz w:val="28"/>
          <w:szCs w:val="28"/>
        </w:rPr>
        <w:t xml:space="preserve"> ризики </w:t>
      </w:r>
      <w:r w:rsidR="0031514D" w:rsidRPr="001E1792">
        <w:rPr>
          <w:spacing w:val="-2"/>
          <w:sz w:val="28"/>
          <w:szCs w:val="28"/>
        </w:rPr>
        <w:t>реалізації продукції</w:t>
      </w:r>
      <w:r w:rsidR="00F57826">
        <w:rPr>
          <w:spacing w:val="-2"/>
          <w:sz w:val="28"/>
          <w:szCs w:val="28"/>
        </w:rPr>
        <w:t xml:space="preserve">, зокрема </w:t>
      </w:r>
      <w:r w:rsidR="00526A9B" w:rsidRPr="001E1792">
        <w:rPr>
          <w:spacing w:val="-2"/>
          <w:sz w:val="28"/>
          <w:szCs w:val="28"/>
        </w:rPr>
        <w:t>б</w:t>
      </w:r>
      <w:r w:rsidR="00C51AB7" w:rsidRPr="001E1792">
        <w:rPr>
          <w:spacing w:val="-2"/>
          <w:sz w:val="28"/>
          <w:szCs w:val="28"/>
        </w:rPr>
        <w:t>іржов</w:t>
      </w:r>
      <w:r w:rsidR="00F57826">
        <w:rPr>
          <w:spacing w:val="-2"/>
          <w:sz w:val="28"/>
          <w:szCs w:val="28"/>
        </w:rPr>
        <w:t>у торгівлю. А</w:t>
      </w:r>
      <w:r w:rsidR="00526A9B" w:rsidRPr="001E1792">
        <w:rPr>
          <w:spacing w:val="-2"/>
          <w:sz w:val="28"/>
          <w:szCs w:val="28"/>
        </w:rPr>
        <w:t xml:space="preserve"> </w:t>
      </w:r>
      <w:r w:rsidR="00CF74F7">
        <w:rPr>
          <w:spacing w:val="-2"/>
          <w:sz w:val="28"/>
          <w:szCs w:val="28"/>
        </w:rPr>
        <w:t xml:space="preserve">механізми </w:t>
      </w:r>
      <w:r>
        <w:rPr>
          <w:spacing w:val="-2"/>
          <w:sz w:val="28"/>
          <w:szCs w:val="28"/>
        </w:rPr>
        <w:t xml:space="preserve">біржового ризик-менеджменту </w:t>
      </w:r>
      <w:r w:rsidR="00526A9B" w:rsidRPr="001E1792">
        <w:rPr>
          <w:spacing w:val="-2"/>
          <w:sz w:val="28"/>
          <w:szCs w:val="28"/>
        </w:rPr>
        <w:t xml:space="preserve">є </w:t>
      </w:r>
      <w:r w:rsidR="00F57826">
        <w:rPr>
          <w:spacing w:val="-2"/>
          <w:sz w:val="28"/>
          <w:szCs w:val="28"/>
        </w:rPr>
        <w:t xml:space="preserve">взагалі </w:t>
      </w:r>
      <w:r w:rsidR="00526A9B" w:rsidRPr="001E1792">
        <w:rPr>
          <w:spacing w:val="-2"/>
          <w:sz w:val="28"/>
          <w:szCs w:val="28"/>
        </w:rPr>
        <w:t>незрозуміл</w:t>
      </w:r>
      <w:r w:rsidR="00F57826">
        <w:rPr>
          <w:spacing w:val="-2"/>
          <w:sz w:val="28"/>
          <w:szCs w:val="28"/>
        </w:rPr>
        <w:t>ими</w:t>
      </w:r>
      <w:r w:rsidR="00526A9B" w:rsidRPr="001E1792">
        <w:rPr>
          <w:spacing w:val="-2"/>
          <w:sz w:val="28"/>
          <w:szCs w:val="28"/>
        </w:rPr>
        <w:t xml:space="preserve">. </w:t>
      </w:r>
    </w:p>
    <w:p w:rsidR="005C0974" w:rsidRPr="001E1792" w:rsidRDefault="005C0974" w:rsidP="00F57826">
      <w:pPr>
        <w:spacing w:after="0" w:line="360" w:lineRule="auto"/>
        <w:ind w:firstLine="454"/>
        <w:jc w:val="both"/>
        <w:rPr>
          <w:b/>
          <w:bCs/>
          <w:spacing w:val="-2"/>
          <w:sz w:val="28"/>
          <w:szCs w:val="28"/>
        </w:rPr>
      </w:pPr>
      <w:r w:rsidRPr="001E1792">
        <w:rPr>
          <w:b/>
          <w:bCs/>
          <w:spacing w:val="-2"/>
          <w:sz w:val="28"/>
          <w:szCs w:val="28"/>
        </w:rPr>
        <w:t>Постановка завдання.</w:t>
      </w:r>
      <w:r w:rsidR="0031514D" w:rsidRPr="001E1792">
        <w:rPr>
          <w:b/>
          <w:bCs/>
          <w:spacing w:val="-2"/>
          <w:sz w:val="28"/>
          <w:szCs w:val="28"/>
          <w:lang w:val="en-US"/>
        </w:rPr>
        <w:t xml:space="preserve"> </w:t>
      </w:r>
      <w:r w:rsidR="000867D8" w:rsidRPr="001E1792">
        <w:rPr>
          <w:spacing w:val="-2"/>
          <w:sz w:val="28"/>
          <w:szCs w:val="28"/>
        </w:rPr>
        <w:t xml:space="preserve">В цьому контексті </w:t>
      </w:r>
      <w:r w:rsidR="00CF74F7">
        <w:rPr>
          <w:spacing w:val="-2"/>
          <w:sz w:val="28"/>
          <w:szCs w:val="28"/>
        </w:rPr>
        <w:t>вивчення</w:t>
      </w:r>
      <w:r w:rsidR="000867D8" w:rsidRPr="001E1792">
        <w:rPr>
          <w:spacing w:val="-2"/>
          <w:sz w:val="28"/>
          <w:szCs w:val="28"/>
        </w:rPr>
        <w:t xml:space="preserve"> біржових інструментів управління ризиками</w:t>
      </w:r>
      <w:r w:rsidR="000867D8" w:rsidRPr="001E1792">
        <w:rPr>
          <w:b/>
          <w:bCs/>
          <w:spacing w:val="-2"/>
          <w:sz w:val="28"/>
          <w:szCs w:val="28"/>
        </w:rPr>
        <w:t xml:space="preserve"> </w:t>
      </w:r>
      <w:r w:rsidR="000867D8" w:rsidRPr="001E1792">
        <w:rPr>
          <w:sz w:val="28"/>
          <w:szCs w:val="28"/>
        </w:rPr>
        <w:t>як механізмів їх зниження сільгоспвиробни</w:t>
      </w:r>
      <w:r w:rsidR="00CD2F43" w:rsidRPr="001E1792">
        <w:rPr>
          <w:sz w:val="28"/>
          <w:szCs w:val="28"/>
        </w:rPr>
        <w:t>ками</w:t>
      </w:r>
      <w:r w:rsidR="00F57826">
        <w:rPr>
          <w:sz w:val="28"/>
          <w:szCs w:val="28"/>
        </w:rPr>
        <w:t xml:space="preserve"> є важливим</w:t>
      </w:r>
      <w:r w:rsidR="000867D8" w:rsidRPr="001E1792">
        <w:rPr>
          <w:sz w:val="28"/>
          <w:szCs w:val="28"/>
        </w:rPr>
        <w:t xml:space="preserve"> і необхідним. Конкретизованою метою</w:t>
      </w:r>
      <w:r w:rsidR="00F57826">
        <w:rPr>
          <w:sz w:val="28"/>
          <w:szCs w:val="28"/>
        </w:rPr>
        <w:t xml:space="preserve"> статті</w:t>
      </w:r>
      <w:r w:rsidR="000867D8" w:rsidRPr="001E1792">
        <w:rPr>
          <w:sz w:val="28"/>
          <w:szCs w:val="28"/>
        </w:rPr>
        <w:t xml:space="preserve"> є </w:t>
      </w:r>
      <w:r w:rsidR="00CD2F43" w:rsidRPr="001E1792">
        <w:rPr>
          <w:sz w:val="28"/>
          <w:szCs w:val="28"/>
        </w:rPr>
        <w:t xml:space="preserve">аналіз </w:t>
      </w:r>
      <w:r w:rsidR="000867D8" w:rsidRPr="001E1792">
        <w:rPr>
          <w:sz w:val="28"/>
          <w:szCs w:val="28"/>
        </w:rPr>
        <w:t xml:space="preserve">біржових та </w:t>
      </w:r>
      <w:proofErr w:type="spellStart"/>
      <w:r w:rsidR="000867D8" w:rsidRPr="001E1792">
        <w:rPr>
          <w:sz w:val="28"/>
          <w:szCs w:val="28"/>
        </w:rPr>
        <w:t>небіржових</w:t>
      </w:r>
      <w:proofErr w:type="spellEnd"/>
      <w:r w:rsidR="000867D8" w:rsidRPr="001E1792">
        <w:rPr>
          <w:sz w:val="28"/>
          <w:szCs w:val="28"/>
        </w:rPr>
        <w:t xml:space="preserve"> </w:t>
      </w:r>
      <w:r w:rsidR="00CD2F43" w:rsidRPr="001E1792">
        <w:rPr>
          <w:sz w:val="28"/>
          <w:szCs w:val="28"/>
        </w:rPr>
        <w:t>інструментів  як елементів системи біржового ризик-менеджменту.</w:t>
      </w:r>
    </w:p>
    <w:p w:rsidR="002223EC" w:rsidRPr="001E1792" w:rsidRDefault="002223EC" w:rsidP="00F57826">
      <w:pPr>
        <w:spacing w:after="0" w:line="360" w:lineRule="auto"/>
        <w:ind w:firstLine="454"/>
        <w:jc w:val="both"/>
        <w:rPr>
          <w:spacing w:val="-2"/>
          <w:sz w:val="28"/>
          <w:szCs w:val="28"/>
        </w:rPr>
      </w:pPr>
      <w:r w:rsidRPr="001E1792">
        <w:rPr>
          <w:b/>
          <w:bCs/>
          <w:spacing w:val="-2"/>
          <w:sz w:val="28"/>
          <w:szCs w:val="28"/>
        </w:rPr>
        <w:t>Аналіз останніх досліджень</w:t>
      </w:r>
      <w:r w:rsidRPr="001E1792">
        <w:rPr>
          <w:spacing w:val="-2"/>
          <w:sz w:val="28"/>
          <w:szCs w:val="28"/>
        </w:rPr>
        <w:t>. Економічна наука володіє широким і</w:t>
      </w:r>
      <w:r w:rsidR="00C71B5C">
        <w:rPr>
          <w:spacing w:val="-2"/>
          <w:sz w:val="28"/>
          <w:szCs w:val="28"/>
        </w:rPr>
        <w:t xml:space="preserve"> різноманітним спектром науков</w:t>
      </w:r>
      <w:r w:rsidRPr="001E1792">
        <w:rPr>
          <w:spacing w:val="-2"/>
          <w:sz w:val="28"/>
          <w:szCs w:val="28"/>
        </w:rPr>
        <w:t>их розробок в сфері вивчення ризику, які зн</w:t>
      </w:r>
      <w:r w:rsidR="00EB68B2" w:rsidRPr="001E1792">
        <w:rPr>
          <w:spacing w:val="-2"/>
          <w:sz w:val="28"/>
          <w:szCs w:val="28"/>
        </w:rPr>
        <w:t xml:space="preserve">айшли відображення у </w:t>
      </w:r>
      <w:r w:rsidRPr="001E1792">
        <w:rPr>
          <w:spacing w:val="-2"/>
          <w:sz w:val="28"/>
          <w:szCs w:val="28"/>
        </w:rPr>
        <w:t>численних концепціях і є логічним продовженням сучасних наукових теорій. Теорети</w:t>
      </w:r>
      <w:r w:rsidR="00CF74F7">
        <w:rPr>
          <w:spacing w:val="-2"/>
          <w:sz w:val="28"/>
          <w:szCs w:val="28"/>
        </w:rPr>
        <w:t>чні і практичні аспекти проблем</w:t>
      </w:r>
      <w:r w:rsidRPr="001E1792">
        <w:rPr>
          <w:spacing w:val="-2"/>
          <w:sz w:val="28"/>
          <w:szCs w:val="28"/>
        </w:rPr>
        <w:t xml:space="preserve"> управління ризик</w:t>
      </w:r>
      <w:r w:rsidR="00C437FA" w:rsidRPr="001E1792">
        <w:rPr>
          <w:spacing w:val="-2"/>
          <w:sz w:val="28"/>
          <w:szCs w:val="28"/>
        </w:rPr>
        <w:t>ами</w:t>
      </w:r>
      <w:r w:rsidRPr="001E1792">
        <w:rPr>
          <w:spacing w:val="-2"/>
          <w:sz w:val="28"/>
          <w:szCs w:val="28"/>
        </w:rPr>
        <w:t xml:space="preserve"> досліджено в працях багатьох</w:t>
      </w:r>
      <w:r w:rsidR="00836ABE" w:rsidRPr="001E1792">
        <w:rPr>
          <w:spacing w:val="-2"/>
          <w:sz w:val="28"/>
          <w:szCs w:val="28"/>
        </w:rPr>
        <w:t xml:space="preserve"> вчених, таких як   Т.  </w:t>
      </w:r>
      <w:proofErr w:type="spellStart"/>
      <w:r w:rsidR="00836ABE" w:rsidRPr="001E1792">
        <w:rPr>
          <w:spacing w:val="-2"/>
          <w:sz w:val="28"/>
          <w:szCs w:val="28"/>
        </w:rPr>
        <w:t>Бачкаї</w:t>
      </w:r>
      <w:proofErr w:type="spellEnd"/>
      <w:r w:rsidR="00836ABE" w:rsidRPr="001E1792">
        <w:rPr>
          <w:spacing w:val="-2"/>
          <w:sz w:val="28"/>
          <w:szCs w:val="28"/>
        </w:rPr>
        <w:t>, Г.</w:t>
      </w:r>
      <w:r w:rsidRPr="001E1792">
        <w:rPr>
          <w:spacing w:val="-2"/>
          <w:sz w:val="28"/>
          <w:szCs w:val="28"/>
        </w:rPr>
        <w:t xml:space="preserve"> </w:t>
      </w:r>
      <w:proofErr w:type="spellStart"/>
      <w:r w:rsidRPr="001E1792">
        <w:rPr>
          <w:spacing w:val="-2"/>
          <w:sz w:val="28"/>
          <w:szCs w:val="28"/>
        </w:rPr>
        <w:t>Клейнер</w:t>
      </w:r>
      <w:proofErr w:type="spellEnd"/>
      <w:r w:rsidRPr="001E1792">
        <w:rPr>
          <w:spacing w:val="-2"/>
          <w:sz w:val="28"/>
          <w:szCs w:val="28"/>
        </w:rPr>
        <w:t xml:space="preserve">, Е. </w:t>
      </w:r>
      <w:proofErr w:type="spellStart"/>
      <w:r w:rsidRPr="001E1792">
        <w:rPr>
          <w:spacing w:val="-2"/>
          <w:sz w:val="28"/>
          <w:szCs w:val="28"/>
        </w:rPr>
        <w:t>Му</w:t>
      </w:r>
      <w:r w:rsidR="00836ABE" w:rsidRPr="001E1792">
        <w:rPr>
          <w:spacing w:val="-2"/>
          <w:sz w:val="28"/>
          <w:szCs w:val="28"/>
        </w:rPr>
        <w:t>шик</w:t>
      </w:r>
      <w:proofErr w:type="spellEnd"/>
      <w:r w:rsidR="00836ABE" w:rsidRPr="001E1792">
        <w:rPr>
          <w:spacing w:val="-2"/>
          <w:sz w:val="28"/>
          <w:szCs w:val="28"/>
        </w:rPr>
        <w:t xml:space="preserve">, П. Мюллер, М. </w:t>
      </w:r>
      <w:proofErr w:type="spellStart"/>
      <w:r w:rsidR="00836ABE" w:rsidRPr="001E1792">
        <w:rPr>
          <w:spacing w:val="-2"/>
          <w:sz w:val="28"/>
          <w:szCs w:val="28"/>
        </w:rPr>
        <w:t>Пітерс</w:t>
      </w:r>
      <w:proofErr w:type="spellEnd"/>
      <w:r w:rsidR="00836ABE" w:rsidRPr="001E1792">
        <w:rPr>
          <w:spacing w:val="-2"/>
          <w:sz w:val="28"/>
          <w:szCs w:val="28"/>
        </w:rPr>
        <w:t xml:space="preserve">, Л. </w:t>
      </w:r>
      <w:proofErr w:type="spellStart"/>
      <w:r w:rsidR="00836ABE" w:rsidRPr="001E1792">
        <w:rPr>
          <w:spacing w:val="-2"/>
          <w:sz w:val="28"/>
          <w:szCs w:val="28"/>
        </w:rPr>
        <w:t>Тепман</w:t>
      </w:r>
      <w:proofErr w:type="spellEnd"/>
      <w:r w:rsidR="00836ABE" w:rsidRPr="001E1792">
        <w:rPr>
          <w:spacing w:val="-2"/>
          <w:sz w:val="28"/>
          <w:szCs w:val="28"/>
        </w:rPr>
        <w:t>, Е.</w:t>
      </w:r>
      <w:r w:rsidR="00F45F71" w:rsidRPr="001E1792">
        <w:rPr>
          <w:spacing w:val="-2"/>
          <w:sz w:val="28"/>
          <w:szCs w:val="28"/>
        </w:rPr>
        <w:t xml:space="preserve"> </w:t>
      </w:r>
      <w:r w:rsidRPr="001E1792">
        <w:rPr>
          <w:spacing w:val="-2"/>
          <w:sz w:val="28"/>
          <w:szCs w:val="28"/>
        </w:rPr>
        <w:t xml:space="preserve">Уткін, У. </w:t>
      </w:r>
      <w:proofErr w:type="spellStart"/>
      <w:r w:rsidRPr="001E1792">
        <w:rPr>
          <w:spacing w:val="-2"/>
          <w:sz w:val="28"/>
          <w:szCs w:val="28"/>
        </w:rPr>
        <w:t>Шарп</w:t>
      </w:r>
      <w:proofErr w:type="spellEnd"/>
      <w:r w:rsidRPr="001E1792">
        <w:rPr>
          <w:spacing w:val="-2"/>
          <w:sz w:val="28"/>
          <w:szCs w:val="28"/>
        </w:rPr>
        <w:t xml:space="preserve"> </w:t>
      </w:r>
      <w:r w:rsidR="00C437FA" w:rsidRPr="001E1792">
        <w:rPr>
          <w:spacing w:val="-2"/>
          <w:sz w:val="28"/>
          <w:szCs w:val="28"/>
        </w:rPr>
        <w:t>ін.</w:t>
      </w:r>
      <w:r w:rsidRPr="001E1792">
        <w:rPr>
          <w:spacing w:val="-2"/>
          <w:sz w:val="28"/>
          <w:szCs w:val="28"/>
        </w:rPr>
        <w:t xml:space="preserve">, </w:t>
      </w:r>
      <w:r w:rsidR="00836ABE" w:rsidRPr="001E1792">
        <w:rPr>
          <w:spacing w:val="-2"/>
          <w:sz w:val="28"/>
          <w:szCs w:val="28"/>
        </w:rPr>
        <w:t>вітчизняних І.</w:t>
      </w:r>
      <w:r w:rsidR="00C71B5C">
        <w:rPr>
          <w:spacing w:val="-2"/>
          <w:sz w:val="28"/>
          <w:szCs w:val="28"/>
        </w:rPr>
        <w:t xml:space="preserve"> </w:t>
      </w:r>
      <w:r w:rsidRPr="001E1792">
        <w:rPr>
          <w:spacing w:val="-2"/>
          <w:sz w:val="28"/>
          <w:szCs w:val="28"/>
        </w:rPr>
        <w:t>Бланк</w:t>
      </w:r>
      <w:r w:rsidR="00836ABE" w:rsidRPr="001E1792">
        <w:rPr>
          <w:spacing w:val="-2"/>
          <w:sz w:val="28"/>
          <w:szCs w:val="28"/>
        </w:rPr>
        <w:t xml:space="preserve">а, В. </w:t>
      </w:r>
      <w:proofErr w:type="spellStart"/>
      <w:r w:rsidR="00836ABE" w:rsidRPr="001E1792">
        <w:rPr>
          <w:spacing w:val="-2"/>
          <w:sz w:val="28"/>
          <w:szCs w:val="28"/>
        </w:rPr>
        <w:t>Вітлінського</w:t>
      </w:r>
      <w:proofErr w:type="spellEnd"/>
      <w:r w:rsidR="00836ABE" w:rsidRPr="001E1792">
        <w:rPr>
          <w:spacing w:val="-2"/>
          <w:sz w:val="28"/>
          <w:szCs w:val="28"/>
        </w:rPr>
        <w:t xml:space="preserve">, В. </w:t>
      </w:r>
      <w:proofErr w:type="spellStart"/>
      <w:r w:rsidR="00836ABE" w:rsidRPr="001E1792">
        <w:rPr>
          <w:spacing w:val="-2"/>
          <w:sz w:val="28"/>
          <w:szCs w:val="28"/>
        </w:rPr>
        <w:t>Гранатурова</w:t>
      </w:r>
      <w:proofErr w:type="spellEnd"/>
      <w:r w:rsidR="00836ABE" w:rsidRPr="001E1792">
        <w:rPr>
          <w:spacing w:val="-2"/>
          <w:sz w:val="28"/>
          <w:szCs w:val="28"/>
        </w:rPr>
        <w:t xml:space="preserve">, М. Денисенка, С. </w:t>
      </w:r>
      <w:proofErr w:type="spellStart"/>
      <w:r w:rsidR="00836ABE" w:rsidRPr="001E1792">
        <w:rPr>
          <w:spacing w:val="-2"/>
          <w:sz w:val="28"/>
          <w:szCs w:val="28"/>
        </w:rPr>
        <w:t>Ілляшенка</w:t>
      </w:r>
      <w:proofErr w:type="spellEnd"/>
      <w:r w:rsidR="00836ABE" w:rsidRPr="001E1792">
        <w:rPr>
          <w:spacing w:val="-2"/>
          <w:sz w:val="28"/>
          <w:szCs w:val="28"/>
        </w:rPr>
        <w:t>, О.</w:t>
      </w:r>
      <w:r w:rsidR="00C437FA" w:rsidRPr="001E1792">
        <w:rPr>
          <w:spacing w:val="-2"/>
          <w:sz w:val="28"/>
          <w:szCs w:val="28"/>
        </w:rPr>
        <w:t xml:space="preserve"> </w:t>
      </w:r>
      <w:r w:rsidR="00836ABE" w:rsidRPr="001E1792">
        <w:rPr>
          <w:spacing w:val="-2"/>
          <w:sz w:val="28"/>
          <w:szCs w:val="28"/>
        </w:rPr>
        <w:t xml:space="preserve">Кузьміна, Г. </w:t>
      </w:r>
      <w:proofErr w:type="spellStart"/>
      <w:r w:rsidR="00836ABE" w:rsidRPr="001E1792">
        <w:rPr>
          <w:spacing w:val="-2"/>
          <w:sz w:val="28"/>
          <w:szCs w:val="28"/>
        </w:rPr>
        <w:t>Лавінського</w:t>
      </w:r>
      <w:proofErr w:type="spellEnd"/>
      <w:r w:rsidR="00836ABE" w:rsidRPr="001E1792">
        <w:rPr>
          <w:spacing w:val="-2"/>
          <w:sz w:val="28"/>
          <w:szCs w:val="28"/>
        </w:rPr>
        <w:t>, О.</w:t>
      </w:r>
      <w:r w:rsidR="00C437FA" w:rsidRPr="001E1792">
        <w:rPr>
          <w:spacing w:val="-2"/>
          <w:sz w:val="28"/>
          <w:szCs w:val="28"/>
        </w:rPr>
        <w:t xml:space="preserve"> </w:t>
      </w:r>
      <w:proofErr w:type="spellStart"/>
      <w:r w:rsidR="00836ABE" w:rsidRPr="001E1792">
        <w:rPr>
          <w:spacing w:val="-2"/>
          <w:sz w:val="28"/>
          <w:szCs w:val="28"/>
        </w:rPr>
        <w:t>Олексюка</w:t>
      </w:r>
      <w:proofErr w:type="spellEnd"/>
      <w:r w:rsidR="00836ABE" w:rsidRPr="001E1792">
        <w:rPr>
          <w:spacing w:val="-2"/>
          <w:sz w:val="28"/>
          <w:szCs w:val="28"/>
        </w:rPr>
        <w:t>, О. Устенко, О.</w:t>
      </w:r>
      <w:r w:rsidRPr="001E1792">
        <w:rPr>
          <w:spacing w:val="-2"/>
          <w:sz w:val="28"/>
          <w:szCs w:val="28"/>
        </w:rPr>
        <w:t xml:space="preserve"> </w:t>
      </w:r>
      <w:proofErr w:type="spellStart"/>
      <w:r w:rsidRPr="001E1792">
        <w:rPr>
          <w:spacing w:val="-2"/>
          <w:sz w:val="28"/>
          <w:szCs w:val="28"/>
        </w:rPr>
        <w:t>Ястремського</w:t>
      </w:r>
      <w:proofErr w:type="spellEnd"/>
      <w:r w:rsidRPr="001E1792">
        <w:rPr>
          <w:spacing w:val="-2"/>
          <w:sz w:val="28"/>
          <w:szCs w:val="28"/>
        </w:rPr>
        <w:t xml:space="preserve"> </w:t>
      </w:r>
      <w:r w:rsidR="00CF74F7">
        <w:rPr>
          <w:spacing w:val="-2"/>
          <w:sz w:val="28"/>
          <w:szCs w:val="28"/>
        </w:rPr>
        <w:t>і</w:t>
      </w:r>
      <w:r w:rsidRPr="001E1792">
        <w:rPr>
          <w:spacing w:val="-2"/>
          <w:sz w:val="28"/>
          <w:szCs w:val="28"/>
        </w:rPr>
        <w:t xml:space="preserve"> інших. </w:t>
      </w:r>
      <w:r w:rsidR="00F57826">
        <w:rPr>
          <w:spacing w:val="-2"/>
          <w:sz w:val="28"/>
          <w:szCs w:val="28"/>
        </w:rPr>
        <w:t>Б</w:t>
      </w:r>
      <w:r w:rsidRPr="001E1792">
        <w:rPr>
          <w:spacing w:val="-2"/>
          <w:sz w:val="28"/>
          <w:szCs w:val="28"/>
        </w:rPr>
        <w:t xml:space="preserve">езпосередньо у аспектах </w:t>
      </w:r>
      <w:r w:rsidR="00F57826">
        <w:rPr>
          <w:spacing w:val="-2"/>
          <w:sz w:val="28"/>
          <w:szCs w:val="28"/>
        </w:rPr>
        <w:t>моделювання ризиків з</w:t>
      </w:r>
      <w:r w:rsidR="00F57826" w:rsidRPr="001E1792">
        <w:rPr>
          <w:spacing w:val="-2"/>
          <w:sz w:val="28"/>
          <w:szCs w:val="28"/>
        </w:rPr>
        <w:t xml:space="preserve">начний внесок </w:t>
      </w:r>
      <w:proofErr w:type="spellStart"/>
      <w:r w:rsidR="00F57826">
        <w:rPr>
          <w:spacing w:val="-2"/>
          <w:sz w:val="28"/>
          <w:szCs w:val="28"/>
        </w:rPr>
        <w:t>маюь</w:t>
      </w:r>
      <w:proofErr w:type="spellEnd"/>
      <w:r w:rsidR="00F57826">
        <w:rPr>
          <w:spacing w:val="-2"/>
          <w:sz w:val="28"/>
          <w:szCs w:val="28"/>
        </w:rPr>
        <w:t xml:space="preserve"> праці</w:t>
      </w:r>
      <w:r w:rsidR="00C437FA" w:rsidRPr="001E1792">
        <w:rPr>
          <w:spacing w:val="-2"/>
          <w:sz w:val="28"/>
          <w:szCs w:val="28"/>
        </w:rPr>
        <w:t xml:space="preserve"> І. </w:t>
      </w:r>
      <w:proofErr w:type="spellStart"/>
      <w:r w:rsidR="00C437FA" w:rsidRPr="001E1792">
        <w:rPr>
          <w:spacing w:val="-2"/>
          <w:sz w:val="28"/>
          <w:szCs w:val="28"/>
        </w:rPr>
        <w:t>Балабанов</w:t>
      </w:r>
      <w:r w:rsidR="00F57826">
        <w:rPr>
          <w:spacing w:val="-2"/>
          <w:sz w:val="28"/>
          <w:szCs w:val="28"/>
        </w:rPr>
        <w:t>а</w:t>
      </w:r>
      <w:proofErr w:type="spellEnd"/>
      <w:r w:rsidR="00C437FA" w:rsidRPr="001E1792">
        <w:rPr>
          <w:spacing w:val="-2"/>
          <w:sz w:val="28"/>
          <w:szCs w:val="28"/>
        </w:rPr>
        <w:t xml:space="preserve">, </w:t>
      </w:r>
      <w:r w:rsidR="00836ABE" w:rsidRPr="001E1792">
        <w:rPr>
          <w:spacing w:val="-2"/>
          <w:sz w:val="28"/>
          <w:szCs w:val="28"/>
        </w:rPr>
        <w:t xml:space="preserve">В. </w:t>
      </w:r>
      <w:proofErr w:type="spellStart"/>
      <w:r w:rsidRPr="001E1792">
        <w:rPr>
          <w:spacing w:val="-2"/>
          <w:sz w:val="28"/>
          <w:szCs w:val="28"/>
        </w:rPr>
        <w:t>Вітлінськ</w:t>
      </w:r>
      <w:r w:rsidR="00F57826">
        <w:rPr>
          <w:spacing w:val="-2"/>
          <w:sz w:val="28"/>
          <w:szCs w:val="28"/>
        </w:rPr>
        <w:t>ого</w:t>
      </w:r>
      <w:proofErr w:type="spellEnd"/>
      <w:r w:rsidRPr="001E1792">
        <w:rPr>
          <w:spacing w:val="-2"/>
          <w:sz w:val="28"/>
          <w:szCs w:val="28"/>
        </w:rPr>
        <w:t xml:space="preserve">, </w:t>
      </w:r>
      <w:r w:rsidR="00C437FA" w:rsidRPr="001E1792">
        <w:rPr>
          <w:spacing w:val="-2"/>
          <w:sz w:val="28"/>
          <w:szCs w:val="28"/>
        </w:rPr>
        <w:t xml:space="preserve">А. </w:t>
      </w:r>
      <w:proofErr w:type="spellStart"/>
      <w:r w:rsidR="00C437FA" w:rsidRPr="001E1792">
        <w:rPr>
          <w:spacing w:val="-2"/>
          <w:sz w:val="28"/>
          <w:szCs w:val="28"/>
        </w:rPr>
        <w:t>Гроппеллі</w:t>
      </w:r>
      <w:proofErr w:type="spellEnd"/>
      <w:r w:rsidR="00C437FA" w:rsidRPr="001E1792">
        <w:rPr>
          <w:spacing w:val="-2"/>
          <w:sz w:val="28"/>
          <w:szCs w:val="28"/>
        </w:rPr>
        <w:t xml:space="preserve">,  </w:t>
      </w:r>
      <w:r w:rsidR="00836ABE" w:rsidRPr="001E1792">
        <w:rPr>
          <w:spacing w:val="-2"/>
          <w:sz w:val="28"/>
          <w:szCs w:val="28"/>
        </w:rPr>
        <w:t xml:space="preserve">Л. </w:t>
      </w:r>
      <w:r w:rsidRPr="001E1792">
        <w:rPr>
          <w:spacing w:val="-2"/>
          <w:sz w:val="28"/>
          <w:szCs w:val="28"/>
        </w:rPr>
        <w:t>Малютіна</w:t>
      </w:r>
      <w:r w:rsidR="00F57826">
        <w:rPr>
          <w:spacing w:val="-2"/>
          <w:sz w:val="28"/>
          <w:szCs w:val="28"/>
        </w:rPr>
        <w:t>, С. Наконечного</w:t>
      </w:r>
      <w:r w:rsidR="00C437FA" w:rsidRPr="001E1792">
        <w:rPr>
          <w:spacing w:val="-2"/>
          <w:sz w:val="28"/>
          <w:szCs w:val="28"/>
        </w:rPr>
        <w:t xml:space="preserve">, Е. </w:t>
      </w:r>
      <w:proofErr w:type="spellStart"/>
      <w:r w:rsidR="00C437FA" w:rsidRPr="001E1792">
        <w:rPr>
          <w:spacing w:val="-2"/>
          <w:sz w:val="28"/>
          <w:szCs w:val="28"/>
        </w:rPr>
        <w:t>Нікбахт</w:t>
      </w:r>
      <w:r w:rsidR="00F57826">
        <w:rPr>
          <w:spacing w:val="-2"/>
          <w:sz w:val="28"/>
          <w:szCs w:val="28"/>
        </w:rPr>
        <w:t>а</w:t>
      </w:r>
      <w:proofErr w:type="spellEnd"/>
      <w:r w:rsidR="00836ABE" w:rsidRPr="001E1792">
        <w:rPr>
          <w:spacing w:val="-2"/>
          <w:sz w:val="28"/>
          <w:szCs w:val="28"/>
        </w:rPr>
        <w:t xml:space="preserve">, </w:t>
      </w:r>
      <w:r w:rsidR="00C437FA" w:rsidRPr="001E1792">
        <w:rPr>
          <w:spacing w:val="-2"/>
          <w:sz w:val="28"/>
          <w:szCs w:val="28"/>
        </w:rPr>
        <w:t xml:space="preserve">Б. </w:t>
      </w:r>
      <w:proofErr w:type="spellStart"/>
      <w:r w:rsidR="00C437FA" w:rsidRPr="001E1792">
        <w:rPr>
          <w:spacing w:val="-2"/>
          <w:sz w:val="28"/>
          <w:szCs w:val="28"/>
        </w:rPr>
        <w:t>Райзберг</w:t>
      </w:r>
      <w:r w:rsidR="00F57826">
        <w:rPr>
          <w:spacing w:val="-2"/>
          <w:sz w:val="28"/>
          <w:szCs w:val="28"/>
        </w:rPr>
        <w:t>а</w:t>
      </w:r>
      <w:proofErr w:type="spellEnd"/>
      <w:r w:rsidR="00F57826">
        <w:rPr>
          <w:spacing w:val="-2"/>
          <w:sz w:val="28"/>
          <w:szCs w:val="28"/>
        </w:rPr>
        <w:t xml:space="preserve"> і </w:t>
      </w:r>
      <w:r w:rsidRPr="001E1792">
        <w:rPr>
          <w:spacing w:val="-2"/>
          <w:sz w:val="28"/>
          <w:szCs w:val="28"/>
        </w:rPr>
        <w:t>інш</w:t>
      </w:r>
      <w:r w:rsidR="00F57826">
        <w:rPr>
          <w:spacing w:val="-2"/>
          <w:sz w:val="28"/>
          <w:szCs w:val="28"/>
        </w:rPr>
        <w:t>их</w:t>
      </w:r>
      <w:r w:rsidRPr="001E1792">
        <w:rPr>
          <w:spacing w:val="-2"/>
          <w:sz w:val="28"/>
          <w:szCs w:val="28"/>
        </w:rPr>
        <w:t xml:space="preserve">. </w:t>
      </w:r>
    </w:p>
    <w:p w:rsidR="00772FB0" w:rsidRDefault="00607D10" w:rsidP="00772FB0">
      <w:pPr>
        <w:spacing w:after="0" w:line="360" w:lineRule="auto"/>
        <w:ind w:firstLine="454"/>
        <w:jc w:val="both"/>
        <w:rPr>
          <w:spacing w:val="-2"/>
          <w:sz w:val="28"/>
          <w:szCs w:val="28"/>
        </w:rPr>
      </w:pPr>
      <w:r w:rsidRPr="001E1792">
        <w:rPr>
          <w:b/>
          <w:bCs/>
          <w:sz w:val="28"/>
          <w:szCs w:val="28"/>
        </w:rPr>
        <w:lastRenderedPageBreak/>
        <w:t>Виклад основного матеріалу.</w:t>
      </w:r>
      <w:r w:rsidR="002223EC" w:rsidRPr="001E1792">
        <w:rPr>
          <w:b/>
          <w:bCs/>
          <w:sz w:val="28"/>
          <w:szCs w:val="28"/>
        </w:rPr>
        <w:t xml:space="preserve"> </w:t>
      </w:r>
      <w:r w:rsidR="00AA19C5" w:rsidRPr="001E1792">
        <w:rPr>
          <w:spacing w:val="-2"/>
          <w:sz w:val="28"/>
          <w:szCs w:val="28"/>
        </w:rPr>
        <w:t>Реалізація</w:t>
      </w:r>
      <w:r w:rsidR="00CD2F43" w:rsidRPr="001E1792">
        <w:rPr>
          <w:spacing w:val="-2"/>
          <w:sz w:val="28"/>
          <w:szCs w:val="28"/>
        </w:rPr>
        <w:t xml:space="preserve"> продукції залишається п</w:t>
      </w:r>
      <w:r w:rsidR="00F57826">
        <w:rPr>
          <w:spacing w:val="-2"/>
          <w:sz w:val="28"/>
          <w:szCs w:val="28"/>
        </w:rPr>
        <w:t>роблемою для сільгоспвиробників.</w:t>
      </w:r>
      <w:r w:rsidR="00CD2F43" w:rsidRPr="001E1792">
        <w:rPr>
          <w:spacing w:val="-2"/>
          <w:sz w:val="28"/>
          <w:szCs w:val="28"/>
        </w:rPr>
        <w:t xml:space="preserve"> </w:t>
      </w:r>
      <w:r w:rsidR="000867D8" w:rsidRPr="001E1792">
        <w:rPr>
          <w:spacing w:val="-2"/>
          <w:sz w:val="28"/>
          <w:szCs w:val="28"/>
        </w:rPr>
        <w:t xml:space="preserve">Найкращим механізмом </w:t>
      </w:r>
      <w:r w:rsidR="00DD2FF5">
        <w:rPr>
          <w:spacing w:val="-2"/>
          <w:sz w:val="28"/>
          <w:szCs w:val="28"/>
        </w:rPr>
        <w:t xml:space="preserve">її </w:t>
      </w:r>
      <w:r w:rsidR="00E41BFB">
        <w:rPr>
          <w:spacing w:val="-2"/>
          <w:sz w:val="28"/>
          <w:szCs w:val="28"/>
        </w:rPr>
        <w:t>див</w:t>
      </w:r>
      <w:r w:rsidR="00CD2F43" w:rsidRPr="001E1792">
        <w:rPr>
          <w:spacing w:val="-2"/>
          <w:sz w:val="28"/>
          <w:szCs w:val="28"/>
        </w:rPr>
        <w:t>ер</w:t>
      </w:r>
      <w:r w:rsidR="00236AA5" w:rsidRPr="001E1792">
        <w:rPr>
          <w:spacing w:val="-2"/>
          <w:sz w:val="28"/>
          <w:szCs w:val="28"/>
        </w:rPr>
        <w:t>сифікації</w:t>
      </w:r>
      <w:r w:rsidR="00CD2F43" w:rsidRPr="001E1792">
        <w:rPr>
          <w:spacing w:val="-2"/>
          <w:sz w:val="28"/>
          <w:szCs w:val="28"/>
        </w:rPr>
        <w:t>,</w:t>
      </w:r>
      <w:r w:rsidR="000867D8" w:rsidRPr="001E1792">
        <w:rPr>
          <w:spacing w:val="-2"/>
          <w:sz w:val="28"/>
          <w:szCs w:val="28"/>
        </w:rPr>
        <w:t xml:space="preserve"> вважаємо</w:t>
      </w:r>
      <w:r w:rsidR="00CD2F43" w:rsidRPr="001E1792">
        <w:rPr>
          <w:spacing w:val="-2"/>
          <w:sz w:val="28"/>
          <w:szCs w:val="28"/>
        </w:rPr>
        <w:t>,</w:t>
      </w:r>
      <w:r w:rsidR="000867D8" w:rsidRPr="001E1792">
        <w:rPr>
          <w:spacing w:val="-2"/>
          <w:sz w:val="28"/>
          <w:szCs w:val="28"/>
        </w:rPr>
        <w:t xml:space="preserve"> є біржова торгівля: виходячи із того, що ціна відображає весь ланцюжок руху товару (від виробника до споживача), то призначення біржового ринку є прозорий обіг товарів і встановлення справедливої ціни на них. Біржі, реагуючи на цінові коливання, індукують реальний стан кон’юнктури.</w:t>
      </w:r>
      <w:r w:rsidR="00DD2FF5">
        <w:rPr>
          <w:spacing w:val="-2"/>
          <w:sz w:val="28"/>
          <w:szCs w:val="28"/>
        </w:rPr>
        <w:t xml:space="preserve"> </w:t>
      </w:r>
    </w:p>
    <w:p w:rsidR="000D6DC8" w:rsidRPr="001E1792" w:rsidRDefault="00DD2FF5" w:rsidP="00772FB0">
      <w:pPr>
        <w:spacing w:after="0" w:line="360" w:lineRule="auto"/>
        <w:ind w:firstLine="454"/>
        <w:jc w:val="both"/>
        <w:rPr>
          <w:spacing w:val="-2"/>
          <w:sz w:val="28"/>
          <w:szCs w:val="28"/>
        </w:rPr>
      </w:pPr>
      <w:r>
        <w:rPr>
          <w:spacing w:val="-2"/>
          <w:sz w:val="28"/>
          <w:szCs w:val="28"/>
        </w:rPr>
        <w:t>У</w:t>
      </w:r>
      <w:r w:rsidR="002223EC" w:rsidRPr="001E1792">
        <w:rPr>
          <w:spacing w:val="-2"/>
          <w:sz w:val="28"/>
          <w:szCs w:val="28"/>
        </w:rPr>
        <w:t xml:space="preserve"> 1993 р. у докладі </w:t>
      </w:r>
      <w:r w:rsidR="0031514D" w:rsidRPr="001E1792">
        <w:rPr>
          <w:spacing w:val="-2"/>
          <w:sz w:val="28"/>
          <w:szCs w:val="28"/>
        </w:rPr>
        <w:t>Комісії з торгівлі та розвитку ООН (</w:t>
      </w:r>
      <w:r w:rsidR="002223EC" w:rsidRPr="001E1792">
        <w:rPr>
          <w:spacing w:val="-2"/>
          <w:sz w:val="28"/>
          <w:szCs w:val="28"/>
        </w:rPr>
        <w:t>UNCTAD</w:t>
      </w:r>
      <w:r w:rsidR="0031514D" w:rsidRPr="001E1792">
        <w:rPr>
          <w:spacing w:val="-2"/>
          <w:sz w:val="28"/>
          <w:szCs w:val="28"/>
        </w:rPr>
        <w:t>)</w:t>
      </w:r>
      <w:r w:rsidR="002223EC" w:rsidRPr="001E1792">
        <w:rPr>
          <w:spacing w:val="-2"/>
          <w:sz w:val="28"/>
          <w:szCs w:val="28"/>
        </w:rPr>
        <w:t xml:space="preserve"> про «Інструменти управління товарними ризиками» </w:t>
      </w:r>
      <w:r w:rsidR="002223EC" w:rsidRPr="001E1792">
        <w:rPr>
          <w:spacing w:val="-2"/>
          <w:sz w:val="28"/>
          <w:szCs w:val="28"/>
          <w:lang w:val="en-US"/>
        </w:rPr>
        <w:t>[</w:t>
      </w:r>
      <w:r w:rsidR="00772FB0">
        <w:rPr>
          <w:spacing w:val="-2"/>
          <w:sz w:val="28"/>
          <w:szCs w:val="28"/>
        </w:rPr>
        <w:t>1</w:t>
      </w:r>
      <w:r w:rsidR="002223EC" w:rsidRPr="001E1792">
        <w:rPr>
          <w:spacing w:val="-2"/>
          <w:sz w:val="28"/>
          <w:szCs w:val="28"/>
        </w:rPr>
        <w:t>,  с. 6</w:t>
      </w:r>
      <w:r w:rsidR="002223EC" w:rsidRPr="001E1792">
        <w:rPr>
          <w:spacing w:val="-2"/>
          <w:sz w:val="28"/>
          <w:szCs w:val="28"/>
          <w:lang w:val="en-US"/>
        </w:rPr>
        <w:t>]</w:t>
      </w:r>
      <w:r w:rsidR="002223EC" w:rsidRPr="001E1792">
        <w:rPr>
          <w:spacing w:val="-2"/>
          <w:sz w:val="28"/>
          <w:szCs w:val="28"/>
        </w:rPr>
        <w:t xml:space="preserve"> визна</w:t>
      </w:r>
      <w:r>
        <w:rPr>
          <w:spacing w:val="-2"/>
          <w:sz w:val="28"/>
          <w:szCs w:val="28"/>
        </w:rPr>
        <w:t>чено</w:t>
      </w:r>
      <w:r w:rsidR="002223EC" w:rsidRPr="001E1792">
        <w:rPr>
          <w:spacing w:val="-2"/>
          <w:sz w:val="28"/>
          <w:szCs w:val="28"/>
        </w:rPr>
        <w:t xml:space="preserve">, що «сучасна товарна біржа – це фінансовий ринок, на якому різні групи учасників (хеджери і спекулянти) торгують контрактами, прив’язаними до ціни на сировину, або на «нетоварні цінності», з метою зняття цінового ризику і передачі його іншим учасникам ринку або з метою прийняття цього ризику на себе, розраховуючи отримати прибуток». </w:t>
      </w:r>
      <w:r w:rsidR="00BF3990">
        <w:rPr>
          <w:spacing w:val="-2"/>
          <w:sz w:val="28"/>
          <w:szCs w:val="28"/>
        </w:rPr>
        <w:t>У</w:t>
      </w:r>
      <w:r w:rsidR="000D6DC8" w:rsidRPr="001E1792">
        <w:rPr>
          <w:spacing w:val="-2"/>
          <w:sz w:val="28"/>
          <w:szCs w:val="28"/>
        </w:rPr>
        <w:t>загальне</w:t>
      </w:r>
      <w:r w:rsidR="00BF3990">
        <w:rPr>
          <w:spacing w:val="-2"/>
          <w:sz w:val="28"/>
          <w:szCs w:val="28"/>
        </w:rPr>
        <w:t>но</w:t>
      </w:r>
      <w:r w:rsidR="000D6DC8" w:rsidRPr="001E1792">
        <w:rPr>
          <w:spacing w:val="-2"/>
          <w:sz w:val="28"/>
          <w:szCs w:val="28"/>
        </w:rPr>
        <w:t xml:space="preserve"> переваг</w:t>
      </w:r>
      <w:r w:rsidR="00BF3990">
        <w:rPr>
          <w:spacing w:val="-2"/>
          <w:sz w:val="28"/>
          <w:szCs w:val="28"/>
        </w:rPr>
        <w:t>и</w:t>
      </w:r>
      <w:r w:rsidR="000D6DC8" w:rsidRPr="001E1792">
        <w:rPr>
          <w:spacing w:val="-2"/>
          <w:sz w:val="28"/>
          <w:szCs w:val="28"/>
        </w:rPr>
        <w:t xml:space="preserve"> бірж</w:t>
      </w:r>
      <w:r w:rsidR="00772FB0">
        <w:rPr>
          <w:spacing w:val="-2"/>
          <w:sz w:val="28"/>
          <w:szCs w:val="28"/>
        </w:rPr>
        <w:t>ової</w:t>
      </w:r>
      <w:r w:rsidR="000D6DC8" w:rsidRPr="001E1792">
        <w:rPr>
          <w:spacing w:val="-2"/>
          <w:sz w:val="28"/>
          <w:szCs w:val="28"/>
        </w:rPr>
        <w:t xml:space="preserve"> торгівлі як </w:t>
      </w:r>
      <w:r w:rsidR="00772FB0">
        <w:rPr>
          <w:spacing w:val="-2"/>
          <w:sz w:val="28"/>
          <w:szCs w:val="28"/>
        </w:rPr>
        <w:t xml:space="preserve">механізму </w:t>
      </w:r>
      <w:r w:rsidR="000D6DC8" w:rsidRPr="001E1792">
        <w:rPr>
          <w:spacing w:val="-2"/>
          <w:sz w:val="28"/>
          <w:szCs w:val="28"/>
        </w:rPr>
        <w:t>зниж</w:t>
      </w:r>
      <w:r w:rsidR="00772FB0">
        <w:rPr>
          <w:spacing w:val="-2"/>
          <w:sz w:val="28"/>
          <w:szCs w:val="28"/>
        </w:rPr>
        <w:t>ення</w:t>
      </w:r>
      <w:r w:rsidR="000D6DC8" w:rsidRPr="001E1792">
        <w:rPr>
          <w:spacing w:val="-2"/>
          <w:sz w:val="28"/>
          <w:szCs w:val="28"/>
        </w:rPr>
        <w:t xml:space="preserve"> ризик</w:t>
      </w:r>
      <w:r w:rsidR="00772FB0">
        <w:rPr>
          <w:spacing w:val="-2"/>
          <w:sz w:val="28"/>
          <w:szCs w:val="28"/>
        </w:rPr>
        <w:t>ів</w:t>
      </w:r>
      <w:r w:rsidR="000D6DC8" w:rsidRPr="001E1792">
        <w:rPr>
          <w:spacing w:val="-2"/>
          <w:sz w:val="28"/>
          <w:szCs w:val="28"/>
        </w:rPr>
        <w:t xml:space="preserve">, </w:t>
      </w:r>
      <w:r w:rsidR="00772FB0">
        <w:rPr>
          <w:spacing w:val="-2"/>
          <w:sz w:val="28"/>
          <w:szCs w:val="28"/>
        </w:rPr>
        <w:t>полягають в тому</w:t>
      </w:r>
      <w:r w:rsidR="0090222E">
        <w:rPr>
          <w:spacing w:val="-2"/>
          <w:sz w:val="28"/>
          <w:szCs w:val="28"/>
        </w:rPr>
        <w:t>, що</w:t>
      </w:r>
      <w:r w:rsidR="000D6DC8" w:rsidRPr="001E1792">
        <w:rPr>
          <w:spacing w:val="-2"/>
          <w:sz w:val="28"/>
          <w:szCs w:val="28"/>
        </w:rPr>
        <w:t xml:space="preserve">: </w:t>
      </w:r>
    </w:p>
    <w:p w:rsidR="000D6DC8" w:rsidRPr="001E1792" w:rsidRDefault="00B277AF" w:rsidP="00772FB0">
      <w:pPr>
        <w:spacing w:after="0" w:line="360" w:lineRule="auto"/>
        <w:ind w:firstLine="454"/>
        <w:jc w:val="both"/>
        <w:rPr>
          <w:spacing w:val="-2"/>
          <w:sz w:val="28"/>
          <w:szCs w:val="28"/>
        </w:rPr>
      </w:pPr>
      <w:r w:rsidRPr="001E1792">
        <w:rPr>
          <w:spacing w:val="-2"/>
          <w:sz w:val="28"/>
          <w:szCs w:val="28"/>
        </w:rPr>
        <w:t xml:space="preserve">- біржі є </w:t>
      </w:r>
      <w:r w:rsidR="000D6DC8" w:rsidRPr="001E1792">
        <w:rPr>
          <w:spacing w:val="-2"/>
          <w:sz w:val="28"/>
          <w:szCs w:val="28"/>
        </w:rPr>
        <w:t>організа</w:t>
      </w:r>
      <w:r w:rsidRPr="001E1792">
        <w:rPr>
          <w:spacing w:val="-2"/>
          <w:sz w:val="28"/>
          <w:szCs w:val="28"/>
        </w:rPr>
        <w:t xml:space="preserve">ціями, що </w:t>
      </w:r>
      <w:r w:rsidR="000D6DC8" w:rsidRPr="001E1792">
        <w:rPr>
          <w:spacing w:val="-2"/>
          <w:sz w:val="28"/>
          <w:szCs w:val="28"/>
        </w:rPr>
        <w:t>здійснюю</w:t>
      </w:r>
      <w:r w:rsidR="00772FB0">
        <w:rPr>
          <w:spacing w:val="-2"/>
          <w:sz w:val="28"/>
          <w:szCs w:val="28"/>
        </w:rPr>
        <w:t>ть</w:t>
      </w:r>
      <w:r w:rsidR="000D6DC8" w:rsidRPr="001E1792">
        <w:rPr>
          <w:spacing w:val="-2"/>
          <w:sz w:val="28"/>
          <w:szCs w:val="28"/>
        </w:rPr>
        <w:t xml:space="preserve"> певну регулятивну роль, не порушую</w:t>
      </w:r>
      <w:r w:rsidR="00772FB0">
        <w:rPr>
          <w:spacing w:val="-2"/>
          <w:sz w:val="28"/>
          <w:szCs w:val="28"/>
        </w:rPr>
        <w:t>чи</w:t>
      </w:r>
      <w:r w:rsidR="000D6DC8" w:rsidRPr="001E1792">
        <w:rPr>
          <w:spacing w:val="-2"/>
          <w:sz w:val="28"/>
          <w:szCs w:val="28"/>
        </w:rPr>
        <w:t xml:space="preserve"> закон попиту </w:t>
      </w:r>
      <w:r w:rsidRPr="001E1792">
        <w:rPr>
          <w:spacing w:val="-2"/>
          <w:sz w:val="28"/>
          <w:szCs w:val="28"/>
        </w:rPr>
        <w:t xml:space="preserve">та пропозиції, спрямовану на підтримку конкурування </w:t>
      </w:r>
      <w:r w:rsidR="000D6DC8" w:rsidRPr="001E1792">
        <w:rPr>
          <w:spacing w:val="-2"/>
          <w:sz w:val="28"/>
          <w:szCs w:val="28"/>
        </w:rPr>
        <w:t>покупц</w:t>
      </w:r>
      <w:r w:rsidRPr="001E1792">
        <w:rPr>
          <w:spacing w:val="-2"/>
          <w:sz w:val="28"/>
          <w:szCs w:val="28"/>
        </w:rPr>
        <w:t>ів</w:t>
      </w:r>
      <w:r w:rsidR="000D6DC8" w:rsidRPr="001E1792">
        <w:rPr>
          <w:spacing w:val="-2"/>
          <w:sz w:val="28"/>
          <w:szCs w:val="28"/>
        </w:rPr>
        <w:t xml:space="preserve"> </w:t>
      </w:r>
      <w:r w:rsidR="00772FB0">
        <w:rPr>
          <w:spacing w:val="-2"/>
          <w:sz w:val="28"/>
          <w:szCs w:val="28"/>
        </w:rPr>
        <w:t>і</w:t>
      </w:r>
      <w:r w:rsidR="000D6DC8" w:rsidRPr="001E1792">
        <w:rPr>
          <w:spacing w:val="-2"/>
          <w:sz w:val="28"/>
          <w:szCs w:val="28"/>
        </w:rPr>
        <w:t xml:space="preserve"> продавц</w:t>
      </w:r>
      <w:r w:rsidRPr="001E1792">
        <w:rPr>
          <w:spacing w:val="-2"/>
          <w:sz w:val="28"/>
          <w:szCs w:val="28"/>
        </w:rPr>
        <w:t>ів</w:t>
      </w:r>
      <w:r w:rsidR="000D6DC8" w:rsidRPr="001E1792">
        <w:rPr>
          <w:spacing w:val="-2"/>
          <w:sz w:val="28"/>
          <w:szCs w:val="28"/>
        </w:rPr>
        <w:t xml:space="preserve"> за сприятливу ціну</w:t>
      </w:r>
      <w:r w:rsidR="00772FB0">
        <w:rPr>
          <w:spacing w:val="-2"/>
          <w:sz w:val="28"/>
          <w:szCs w:val="28"/>
        </w:rPr>
        <w:t>;</w:t>
      </w:r>
      <w:r w:rsidR="000D6DC8" w:rsidRPr="001E1792">
        <w:rPr>
          <w:spacing w:val="-2"/>
          <w:sz w:val="28"/>
          <w:szCs w:val="28"/>
        </w:rPr>
        <w:t xml:space="preserve"> </w:t>
      </w:r>
    </w:p>
    <w:p w:rsidR="000D6DC8" w:rsidRPr="001E1792" w:rsidRDefault="000D6DC8" w:rsidP="0090222E">
      <w:pPr>
        <w:spacing w:after="0" w:line="360" w:lineRule="auto"/>
        <w:ind w:firstLine="454"/>
        <w:jc w:val="both"/>
        <w:rPr>
          <w:spacing w:val="-2"/>
          <w:sz w:val="28"/>
          <w:szCs w:val="28"/>
        </w:rPr>
      </w:pPr>
      <w:r w:rsidRPr="001E1792">
        <w:rPr>
          <w:spacing w:val="-2"/>
          <w:sz w:val="28"/>
          <w:szCs w:val="28"/>
        </w:rPr>
        <w:t xml:space="preserve">- біржі торгують високоліквідним товаром, що зумовлює </w:t>
      </w:r>
      <w:r w:rsidR="00BF3990">
        <w:rPr>
          <w:spacing w:val="-2"/>
          <w:sz w:val="28"/>
          <w:szCs w:val="28"/>
        </w:rPr>
        <w:t xml:space="preserve">їх </w:t>
      </w:r>
      <w:r w:rsidRPr="001E1792">
        <w:rPr>
          <w:spacing w:val="-2"/>
          <w:sz w:val="28"/>
          <w:szCs w:val="28"/>
        </w:rPr>
        <w:t>уніфікацію та здатність до стандартизації, що забез</w:t>
      </w:r>
      <w:r w:rsidR="0090222E">
        <w:rPr>
          <w:spacing w:val="-2"/>
          <w:sz w:val="28"/>
          <w:szCs w:val="28"/>
        </w:rPr>
        <w:t>печує встановлення базової ціни</w:t>
      </w:r>
      <w:r w:rsidRPr="001E1792">
        <w:rPr>
          <w:spacing w:val="-2"/>
          <w:sz w:val="28"/>
          <w:szCs w:val="28"/>
        </w:rPr>
        <w:t>;</w:t>
      </w:r>
    </w:p>
    <w:p w:rsidR="000D6DC8" w:rsidRPr="001E1792" w:rsidRDefault="000D6DC8" w:rsidP="0090222E">
      <w:pPr>
        <w:spacing w:after="0" w:line="360" w:lineRule="auto"/>
        <w:ind w:firstLine="454"/>
        <w:jc w:val="both"/>
        <w:rPr>
          <w:spacing w:val="-2"/>
          <w:sz w:val="28"/>
          <w:szCs w:val="28"/>
        </w:rPr>
      </w:pPr>
      <w:r w:rsidRPr="001E1792">
        <w:rPr>
          <w:spacing w:val="-2"/>
          <w:sz w:val="28"/>
          <w:szCs w:val="28"/>
        </w:rPr>
        <w:t>- за рахунок спекулятивного капіталу, біржа сприяє безперебійному перетіканню товарів з однієї сфери в іншу, (причому товар може навіть не покидати склад виробника (біржі), суттєво знижуючи затрати на логістичні послуги), а бути проданим через велику кількість посередників;</w:t>
      </w:r>
    </w:p>
    <w:p w:rsidR="000D6DC8" w:rsidRPr="001E1792" w:rsidRDefault="000D6DC8" w:rsidP="000D6DC8">
      <w:pPr>
        <w:spacing w:after="0" w:line="360" w:lineRule="auto"/>
        <w:ind w:firstLine="454"/>
        <w:jc w:val="both"/>
        <w:rPr>
          <w:spacing w:val="-2"/>
          <w:sz w:val="28"/>
          <w:szCs w:val="28"/>
        </w:rPr>
      </w:pPr>
      <w:r w:rsidRPr="001E1792">
        <w:rPr>
          <w:spacing w:val="-2"/>
          <w:sz w:val="28"/>
          <w:szCs w:val="28"/>
        </w:rPr>
        <w:t>- концентруючи значну кількість товарів, біржа забезпечує формування запасів товарів у просторі та часі (товар фізично не переходить «з рук в руки», до поки не буде встановлена сприятлива на нього ціна, та рівномірно розподілений, щоб захистити виробників від їх заниження чи завищення);</w:t>
      </w:r>
    </w:p>
    <w:p w:rsidR="000D6DC8" w:rsidRPr="001E1792" w:rsidRDefault="000D6DC8" w:rsidP="000D6DC8">
      <w:pPr>
        <w:spacing w:after="0" w:line="360" w:lineRule="auto"/>
        <w:ind w:firstLine="454"/>
        <w:jc w:val="both"/>
        <w:rPr>
          <w:spacing w:val="-2"/>
          <w:sz w:val="28"/>
          <w:szCs w:val="28"/>
        </w:rPr>
      </w:pPr>
      <w:r w:rsidRPr="001E1792">
        <w:rPr>
          <w:spacing w:val="-2"/>
          <w:sz w:val="28"/>
          <w:szCs w:val="28"/>
        </w:rPr>
        <w:t>- біржі забезпечують конкуренте середовище для усіх учасників біржової торгівлі через встановлення біржових цін;</w:t>
      </w:r>
    </w:p>
    <w:p w:rsidR="000D6DC8" w:rsidRPr="001E1792" w:rsidRDefault="000D6DC8" w:rsidP="000D6DC8">
      <w:pPr>
        <w:spacing w:after="0" w:line="360" w:lineRule="auto"/>
        <w:ind w:firstLine="454"/>
        <w:jc w:val="both"/>
        <w:rPr>
          <w:spacing w:val="-2"/>
          <w:sz w:val="28"/>
          <w:szCs w:val="28"/>
        </w:rPr>
      </w:pPr>
      <w:r w:rsidRPr="001E1792">
        <w:rPr>
          <w:spacing w:val="-2"/>
          <w:sz w:val="28"/>
          <w:szCs w:val="28"/>
        </w:rPr>
        <w:lastRenderedPageBreak/>
        <w:t>- концентруючи в одному місці великої кількості хеджерів та спекулянтів, біржі формують умови зниження ризиків, оскільки хеджери страхують свої ризики від зміни ціни, а спекулянти беруть на себе ці ризики;</w:t>
      </w:r>
    </w:p>
    <w:p w:rsidR="000D6DC8" w:rsidRPr="001E1792" w:rsidRDefault="000D6DC8" w:rsidP="0090222E">
      <w:pPr>
        <w:spacing w:after="0" w:line="360" w:lineRule="auto"/>
        <w:ind w:firstLine="454"/>
        <w:jc w:val="both"/>
        <w:rPr>
          <w:spacing w:val="-2"/>
          <w:sz w:val="28"/>
          <w:szCs w:val="28"/>
        </w:rPr>
      </w:pPr>
      <w:r w:rsidRPr="001E1792">
        <w:rPr>
          <w:spacing w:val="-2"/>
          <w:sz w:val="28"/>
          <w:szCs w:val="28"/>
        </w:rPr>
        <w:t>- біржі гаранту</w:t>
      </w:r>
      <w:r w:rsidR="0090222E">
        <w:rPr>
          <w:spacing w:val="-2"/>
          <w:sz w:val="28"/>
          <w:szCs w:val="28"/>
        </w:rPr>
        <w:t>ють</w:t>
      </w:r>
      <w:r w:rsidRPr="001E1792">
        <w:rPr>
          <w:spacing w:val="-2"/>
          <w:sz w:val="28"/>
          <w:szCs w:val="28"/>
        </w:rPr>
        <w:t xml:space="preserve"> виконання сторонами угод своїх зобов’язань</w:t>
      </w:r>
      <w:r w:rsidRPr="001E1792">
        <w:rPr>
          <w:spacing w:val="-2"/>
          <w:sz w:val="30"/>
          <w:szCs w:val="30"/>
        </w:rPr>
        <w:t xml:space="preserve"> через впровадження </w:t>
      </w:r>
      <w:r w:rsidRPr="001E1792">
        <w:rPr>
          <w:spacing w:val="-2"/>
          <w:sz w:val="28"/>
          <w:szCs w:val="28"/>
        </w:rPr>
        <w:t>систем клірингу та розрахунків</w:t>
      </w:r>
      <w:r w:rsidR="00CD2F43" w:rsidRPr="001E1792">
        <w:rPr>
          <w:spacing w:val="-2"/>
          <w:sz w:val="28"/>
          <w:szCs w:val="28"/>
        </w:rPr>
        <w:t xml:space="preserve"> тощо</w:t>
      </w:r>
      <w:r w:rsidRPr="001E1792">
        <w:rPr>
          <w:spacing w:val="-2"/>
          <w:sz w:val="28"/>
          <w:szCs w:val="28"/>
        </w:rPr>
        <w:t>.</w:t>
      </w:r>
    </w:p>
    <w:p w:rsidR="000D6DC8" w:rsidRPr="001E1792" w:rsidRDefault="00772FB0" w:rsidP="000001A6">
      <w:pPr>
        <w:spacing w:after="0" w:line="360" w:lineRule="auto"/>
        <w:ind w:firstLine="454"/>
        <w:jc w:val="both"/>
        <w:rPr>
          <w:spacing w:val="-2"/>
          <w:sz w:val="28"/>
          <w:szCs w:val="28"/>
        </w:rPr>
      </w:pPr>
      <w:r w:rsidRPr="001E1792">
        <w:rPr>
          <w:spacing w:val="-2"/>
          <w:sz w:val="28"/>
          <w:szCs w:val="28"/>
        </w:rPr>
        <w:t xml:space="preserve">UNCTAD </w:t>
      </w:r>
      <w:r w:rsidR="000001A6">
        <w:rPr>
          <w:spacing w:val="-2"/>
          <w:sz w:val="28"/>
          <w:szCs w:val="28"/>
        </w:rPr>
        <w:t>і</w:t>
      </w:r>
      <w:r w:rsidRPr="001E1792">
        <w:rPr>
          <w:spacing w:val="-2"/>
          <w:sz w:val="28"/>
          <w:szCs w:val="28"/>
        </w:rPr>
        <w:t xml:space="preserve"> Міжнародн</w:t>
      </w:r>
      <w:r>
        <w:rPr>
          <w:spacing w:val="-2"/>
          <w:sz w:val="28"/>
          <w:szCs w:val="28"/>
        </w:rPr>
        <w:t>а</w:t>
      </w:r>
      <w:r w:rsidRPr="001E1792">
        <w:rPr>
          <w:spacing w:val="-2"/>
          <w:sz w:val="28"/>
          <w:szCs w:val="28"/>
        </w:rPr>
        <w:t xml:space="preserve"> груп</w:t>
      </w:r>
      <w:r>
        <w:rPr>
          <w:spacing w:val="-2"/>
          <w:sz w:val="28"/>
          <w:szCs w:val="28"/>
        </w:rPr>
        <w:t>а</w:t>
      </w:r>
      <w:r w:rsidRPr="001E1792">
        <w:rPr>
          <w:spacing w:val="-2"/>
          <w:sz w:val="28"/>
          <w:szCs w:val="28"/>
        </w:rPr>
        <w:t xml:space="preserve"> з управління ризиками сировинних товарів Світового банку</w:t>
      </w:r>
      <w:r>
        <w:rPr>
          <w:spacing w:val="-2"/>
          <w:sz w:val="28"/>
          <w:szCs w:val="28"/>
        </w:rPr>
        <w:t xml:space="preserve"> запропонувала</w:t>
      </w:r>
      <w:r w:rsidR="000001A6">
        <w:rPr>
          <w:spacing w:val="-2"/>
          <w:sz w:val="28"/>
          <w:szCs w:val="28"/>
        </w:rPr>
        <w:t xml:space="preserve"> </w:t>
      </w:r>
      <w:r w:rsidR="000D6DC8" w:rsidRPr="001E1792">
        <w:rPr>
          <w:spacing w:val="-2"/>
          <w:sz w:val="28"/>
          <w:szCs w:val="28"/>
        </w:rPr>
        <w:t>методи управління ціновими ризиками</w:t>
      </w:r>
      <w:r w:rsidR="000001A6">
        <w:rPr>
          <w:spacing w:val="-2"/>
          <w:sz w:val="28"/>
          <w:szCs w:val="28"/>
        </w:rPr>
        <w:t>,  а саме</w:t>
      </w:r>
      <w:r w:rsidR="000D6DC8" w:rsidRPr="001E1792">
        <w:rPr>
          <w:spacing w:val="-2"/>
          <w:sz w:val="28"/>
          <w:szCs w:val="28"/>
        </w:rPr>
        <w:t xml:space="preserve">: </w:t>
      </w:r>
    </w:p>
    <w:p w:rsidR="000D6DC8" w:rsidRPr="001E1792" w:rsidRDefault="000D6DC8" w:rsidP="0090222E">
      <w:pPr>
        <w:spacing w:after="0" w:line="360" w:lineRule="auto"/>
        <w:ind w:firstLine="454"/>
        <w:jc w:val="both"/>
        <w:rPr>
          <w:spacing w:val="-2"/>
          <w:sz w:val="28"/>
          <w:szCs w:val="28"/>
        </w:rPr>
      </w:pPr>
      <w:r w:rsidRPr="001E1792">
        <w:rPr>
          <w:spacing w:val="-2"/>
          <w:sz w:val="28"/>
          <w:szCs w:val="28"/>
        </w:rPr>
        <w:t xml:space="preserve"> - традиційні (створення резервних товарних запасів і грошових фондів, диверсифікація діяльності суб’єктів, системи державного субсидування);</w:t>
      </w:r>
    </w:p>
    <w:p w:rsidR="000D6DC8" w:rsidRPr="001E1792" w:rsidRDefault="000D6DC8" w:rsidP="00772FB0">
      <w:pPr>
        <w:spacing w:after="0" w:line="360" w:lineRule="auto"/>
        <w:ind w:firstLine="454"/>
        <w:jc w:val="both"/>
        <w:rPr>
          <w:spacing w:val="-2"/>
          <w:sz w:val="28"/>
          <w:szCs w:val="28"/>
        </w:rPr>
      </w:pPr>
      <w:r w:rsidRPr="001E1792">
        <w:rPr>
          <w:spacing w:val="-2"/>
          <w:sz w:val="28"/>
          <w:szCs w:val="28"/>
        </w:rPr>
        <w:t xml:space="preserve">- ринкові (використання біржових контрактів: форвардів, ф’ючерсів, опціонів, свопів і запровадження систем структурованого фінансування). Ринкові інструменти в свою чергу можна розділити на інструменти, що використовуються щодо товарів з фізичною реалізацією (укладення форвардних та ф’ючерсних контрактів) та ті, що використовуються щодо товарів без фізичної реалізації (свопи, кредитні облігації, без документарний ф’ючерс) </w:t>
      </w:r>
      <w:r w:rsidRPr="001E1792">
        <w:rPr>
          <w:spacing w:val="-2"/>
          <w:sz w:val="32"/>
          <w:szCs w:val="32"/>
        </w:rPr>
        <w:t>[</w:t>
      </w:r>
      <w:r w:rsidR="00772FB0">
        <w:rPr>
          <w:sz w:val="28"/>
          <w:szCs w:val="28"/>
          <w:lang w:eastAsia="uk-UA"/>
        </w:rPr>
        <w:t>1</w:t>
      </w:r>
      <w:r w:rsidRPr="001E1792">
        <w:rPr>
          <w:spacing w:val="-2"/>
          <w:sz w:val="32"/>
          <w:szCs w:val="32"/>
        </w:rPr>
        <w:t xml:space="preserve">]. </w:t>
      </w:r>
    </w:p>
    <w:p w:rsidR="000D6DC8" w:rsidRPr="001E1792" w:rsidRDefault="000D6DC8" w:rsidP="0090222E">
      <w:pPr>
        <w:spacing w:after="0" w:line="360" w:lineRule="auto"/>
        <w:ind w:firstLine="454"/>
        <w:jc w:val="both"/>
        <w:rPr>
          <w:spacing w:val="-2"/>
          <w:sz w:val="28"/>
          <w:szCs w:val="28"/>
        </w:rPr>
      </w:pPr>
      <w:r w:rsidRPr="001E1792">
        <w:rPr>
          <w:spacing w:val="-2"/>
          <w:sz w:val="28"/>
          <w:szCs w:val="28"/>
        </w:rPr>
        <w:t xml:space="preserve">Класифікація інструментів ризик-менеджменту в залежності від місця обігу поділяє їх на біржові </w:t>
      </w:r>
      <w:r w:rsidR="000867D8" w:rsidRPr="001E1792">
        <w:rPr>
          <w:spacing w:val="-2"/>
          <w:sz w:val="28"/>
          <w:szCs w:val="28"/>
        </w:rPr>
        <w:t>та позабіржові (</w:t>
      </w:r>
      <w:proofErr w:type="spellStart"/>
      <w:r w:rsidR="000867D8" w:rsidRPr="001E1792">
        <w:rPr>
          <w:spacing w:val="-2"/>
          <w:sz w:val="28"/>
          <w:szCs w:val="28"/>
        </w:rPr>
        <w:t>не</w:t>
      </w:r>
      <w:r w:rsidRPr="001E1792">
        <w:rPr>
          <w:spacing w:val="-2"/>
          <w:sz w:val="28"/>
          <w:szCs w:val="28"/>
        </w:rPr>
        <w:t>біржові</w:t>
      </w:r>
      <w:proofErr w:type="spellEnd"/>
      <w:r w:rsidRPr="001E1792">
        <w:rPr>
          <w:spacing w:val="-2"/>
          <w:sz w:val="28"/>
          <w:szCs w:val="28"/>
        </w:rPr>
        <w:t>). Головна різниця полягає у ліквідності (</w:t>
      </w:r>
      <w:proofErr w:type="spellStart"/>
      <w:r w:rsidRPr="001E1792">
        <w:rPr>
          <w:spacing w:val="-2"/>
          <w:sz w:val="28"/>
          <w:szCs w:val="28"/>
        </w:rPr>
        <w:t>небіржові</w:t>
      </w:r>
      <w:proofErr w:type="spellEnd"/>
      <w:r w:rsidRPr="001E1792">
        <w:rPr>
          <w:spacing w:val="-2"/>
          <w:sz w:val="28"/>
          <w:szCs w:val="28"/>
        </w:rPr>
        <w:t xml:space="preserve"> менш ліквідн</w:t>
      </w:r>
      <w:r w:rsidR="00343F3E">
        <w:rPr>
          <w:spacing w:val="-2"/>
          <w:sz w:val="28"/>
          <w:szCs w:val="28"/>
        </w:rPr>
        <w:t>і</w:t>
      </w:r>
      <w:r w:rsidRPr="001E1792">
        <w:rPr>
          <w:spacing w:val="-2"/>
          <w:sz w:val="28"/>
          <w:szCs w:val="28"/>
        </w:rPr>
        <w:t xml:space="preserve">) і в тому, що на позабіржовому ринку відсутнє достатнє регулювання контрактних зобов’язань (гарантування виконання зобов’язань по угодах лежить виключно на їх сторонах). </w:t>
      </w:r>
    </w:p>
    <w:p w:rsidR="000D6DC8" w:rsidRPr="001E1792" w:rsidRDefault="000D6DC8" w:rsidP="00772FB0">
      <w:pPr>
        <w:spacing w:after="0" w:line="360" w:lineRule="auto"/>
        <w:ind w:firstLine="454"/>
        <w:jc w:val="both"/>
        <w:rPr>
          <w:spacing w:val="-2"/>
          <w:sz w:val="28"/>
          <w:szCs w:val="28"/>
        </w:rPr>
      </w:pPr>
      <w:r w:rsidRPr="001E1792">
        <w:rPr>
          <w:spacing w:val="-2"/>
          <w:sz w:val="28"/>
          <w:szCs w:val="28"/>
        </w:rPr>
        <w:t>Міжнародна асоціація свопів та дилерів (</w:t>
      </w:r>
      <w:proofErr w:type="spellStart"/>
      <w:r w:rsidRPr="001E1792">
        <w:rPr>
          <w:spacing w:val="-2"/>
          <w:sz w:val="28"/>
          <w:szCs w:val="28"/>
        </w:rPr>
        <w:t>International</w:t>
      </w:r>
      <w:proofErr w:type="spellEnd"/>
      <w:r w:rsidRPr="001E1792">
        <w:rPr>
          <w:spacing w:val="-2"/>
          <w:sz w:val="28"/>
          <w:szCs w:val="28"/>
        </w:rPr>
        <w:t xml:space="preserve"> </w:t>
      </w:r>
      <w:proofErr w:type="spellStart"/>
      <w:r w:rsidRPr="001E1792">
        <w:rPr>
          <w:spacing w:val="-2"/>
          <w:sz w:val="28"/>
          <w:szCs w:val="28"/>
        </w:rPr>
        <w:t>Sw</w:t>
      </w:r>
      <w:r w:rsidR="00343F3E">
        <w:rPr>
          <w:spacing w:val="-2"/>
          <w:sz w:val="28"/>
          <w:szCs w:val="28"/>
        </w:rPr>
        <w:t>aps</w:t>
      </w:r>
      <w:proofErr w:type="spellEnd"/>
      <w:r w:rsidR="00343F3E">
        <w:rPr>
          <w:spacing w:val="-2"/>
          <w:sz w:val="28"/>
          <w:szCs w:val="28"/>
        </w:rPr>
        <w:t xml:space="preserve"> </w:t>
      </w:r>
      <w:proofErr w:type="spellStart"/>
      <w:r w:rsidR="00343F3E">
        <w:rPr>
          <w:spacing w:val="-2"/>
          <w:sz w:val="28"/>
          <w:szCs w:val="28"/>
        </w:rPr>
        <w:t>and</w:t>
      </w:r>
      <w:proofErr w:type="spellEnd"/>
      <w:r w:rsidR="00343F3E">
        <w:rPr>
          <w:spacing w:val="-2"/>
          <w:sz w:val="28"/>
          <w:szCs w:val="28"/>
        </w:rPr>
        <w:t xml:space="preserve"> </w:t>
      </w:r>
      <w:proofErr w:type="spellStart"/>
      <w:r w:rsidR="00343F3E">
        <w:rPr>
          <w:spacing w:val="-2"/>
          <w:sz w:val="28"/>
          <w:szCs w:val="28"/>
        </w:rPr>
        <w:t>Derivatives</w:t>
      </w:r>
      <w:proofErr w:type="spellEnd"/>
      <w:r w:rsidR="00343F3E">
        <w:rPr>
          <w:spacing w:val="-2"/>
          <w:sz w:val="28"/>
          <w:szCs w:val="28"/>
        </w:rPr>
        <w:t xml:space="preserve"> </w:t>
      </w:r>
      <w:proofErr w:type="spellStart"/>
      <w:r w:rsidR="00343F3E">
        <w:rPr>
          <w:spacing w:val="-2"/>
          <w:sz w:val="28"/>
          <w:szCs w:val="28"/>
        </w:rPr>
        <w:t>Association</w:t>
      </w:r>
      <w:proofErr w:type="spellEnd"/>
      <w:r w:rsidRPr="001E1792">
        <w:rPr>
          <w:spacing w:val="-2"/>
          <w:sz w:val="28"/>
          <w:szCs w:val="28"/>
        </w:rPr>
        <w:t xml:space="preserve">) констатує, що в останні роки більше як 90% з 500 найбільших компаній світу використовують похідні інструменти/деривативи (біржові, </w:t>
      </w:r>
      <w:proofErr w:type="spellStart"/>
      <w:r w:rsidRPr="001E1792">
        <w:rPr>
          <w:spacing w:val="-2"/>
          <w:sz w:val="28"/>
          <w:szCs w:val="28"/>
        </w:rPr>
        <w:t>небіржові</w:t>
      </w:r>
      <w:proofErr w:type="spellEnd"/>
      <w:r w:rsidRPr="001E1792">
        <w:rPr>
          <w:spacing w:val="-2"/>
          <w:sz w:val="28"/>
          <w:szCs w:val="28"/>
        </w:rPr>
        <w:t>) для ефективного управління та хеджування своїх ризиків [</w:t>
      </w:r>
      <w:r w:rsidR="00772FB0">
        <w:rPr>
          <w:spacing w:val="-2"/>
          <w:sz w:val="28"/>
          <w:szCs w:val="28"/>
        </w:rPr>
        <w:t>2</w:t>
      </w:r>
      <w:r w:rsidRPr="001E1792">
        <w:rPr>
          <w:spacing w:val="-2"/>
          <w:sz w:val="28"/>
          <w:szCs w:val="28"/>
        </w:rPr>
        <w:t>].</w:t>
      </w:r>
    </w:p>
    <w:p w:rsidR="000D6DC8" w:rsidRPr="001E1792" w:rsidRDefault="000D6DC8" w:rsidP="00772FB0">
      <w:pPr>
        <w:spacing w:after="0" w:line="360" w:lineRule="auto"/>
        <w:ind w:firstLine="454"/>
        <w:jc w:val="both"/>
        <w:rPr>
          <w:spacing w:val="-2"/>
          <w:sz w:val="28"/>
          <w:szCs w:val="28"/>
        </w:rPr>
      </w:pPr>
      <w:r w:rsidRPr="001E1792">
        <w:rPr>
          <w:spacing w:val="-2"/>
          <w:sz w:val="28"/>
          <w:szCs w:val="28"/>
        </w:rPr>
        <w:t xml:space="preserve">Обрання інструментів, які варто використовувати, залежить від вибору стратегії управління ризиками: </w:t>
      </w:r>
      <w:r w:rsidR="00CF74F7">
        <w:rPr>
          <w:spacing w:val="-2"/>
          <w:sz w:val="28"/>
          <w:szCs w:val="28"/>
        </w:rPr>
        <w:t>хеджування</w:t>
      </w:r>
      <w:r w:rsidRPr="001E1792">
        <w:rPr>
          <w:spacing w:val="-2"/>
          <w:sz w:val="28"/>
          <w:szCs w:val="28"/>
        </w:rPr>
        <w:t xml:space="preserve">, захист від невиконання зобов’язань стороною угоди, чи передбачається формувати довгострокову політику торгових зв’язків, чи отримання короткострокової фінансової вигоди від купівлі-продажу </w:t>
      </w:r>
      <w:r w:rsidRPr="001E1792">
        <w:rPr>
          <w:spacing w:val="-2"/>
          <w:sz w:val="28"/>
          <w:szCs w:val="28"/>
        </w:rPr>
        <w:lastRenderedPageBreak/>
        <w:t xml:space="preserve">біржових контрактів. Врешті, </w:t>
      </w:r>
      <w:r w:rsidR="0090222E">
        <w:rPr>
          <w:spacing w:val="-2"/>
          <w:sz w:val="28"/>
          <w:szCs w:val="28"/>
        </w:rPr>
        <w:t xml:space="preserve">вибір їх </w:t>
      </w:r>
      <w:r w:rsidRPr="001E1792">
        <w:rPr>
          <w:spacing w:val="-2"/>
          <w:sz w:val="28"/>
          <w:szCs w:val="28"/>
        </w:rPr>
        <w:t xml:space="preserve">не означає </w:t>
      </w:r>
      <w:proofErr w:type="spellStart"/>
      <w:r w:rsidRPr="001E1792">
        <w:rPr>
          <w:spacing w:val="-2"/>
          <w:sz w:val="28"/>
          <w:szCs w:val="28"/>
        </w:rPr>
        <w:t>вазємовиключен</w:t>
      </w:r>
      <w:r w:rsidR="0090222E">
        <w:rPr>
          <w:spacing w:val="-2"/>
          <w:sz w:val="28"/>
          <w:szCs w:val="28"/>
        </w:rPr>
        <w:t>ня</w:t>
      </w:r>
      <w:proofErr w:type="spellEnd"/>
      <w:r w:rsidR="0090222E">
        <w:rPr>
          <w:spacing w:val="-2"/>
          <w:sz w:val="28"/>
          <w:szCs w:val="28"/>
        </w:rPr>
        <w:t xml:space="preserve">. </w:t>
      </w:r>
      <w:r w:rsidRPr="001E1792">
        <w:rPr>
          <w:spacing w:val="-2"/>
          <w:sz w:val="28"/>
          <w:szCs w:val="28"/>
        </w:rPr>
        <w:t>UNCTAD рекомендує використовувати інструменти цінового ризик-менеджменту, орієнтуючись на завдання та цілі, які переслідує потенційний їх користувач [</w:t>
      </w:r>
      <w:r w:rsidR="00772FB0">
        <w:rPr>
          <w:spacing w:val="-2"/>
          <w:sz w:val="28"/>
          <w:szCs w:val="28"/>
        </w:rPr>
        <w:t>1</w:t>
      </w:r>
      <w:r w:rsidRPr="001E1792">
        <w:rPr>
          <w:spacing w:val="-2"/>
          <w:sz w:val="28"/>
          <w:szCs w:val="28"/>
        </w:rPr>
        <w:t>]:</w:t>
      </w:r>
    </w:p>
    <w:p w:rsidR="000D6DC8" w:rsidRPr="001E1792" w:rsidRDefault="000D6DC8" w:rsidP="000D6DC8">
      <w:pPr>
        <w:spacing w:after="0" w:line="360" w:lineRule="auto"/>
        <w:ind w:firstLine="454"/>
        <w:jc w:val="both"/>
        <w:rPr>
          <w:spacing w:val="-2"/>
          <w:sz w:val="28"/>
          <w:szCs w:val="28"/>
        </w:rPr>
      </w:pPr>
      <w:r w:rsidRPr="001E1792">
        <w:rPr>
          <w:spacing w:val="-2"/>
          <w:sz w:val="28"/>
          <w:szCs w:val="28"/>
        </w:rPr>
        <w:t>- при торгівлі фізичним товаром варто використов</w:t>
      </w:r>
      <w:r w:rsidR="00C437FA" w:rsidRPr="001E1792">
        <w:rPr>
          <w:spacing w:val="-2"/>
          <w:sz w:val="28"/>
          <w:szCs w:val="28"/>
        </w:rPr>
        <w:t xml:space="preserve">увати форвардні контракти та </w:t>
      </w:r>
      <w:proofErr w:type="spellStart"/>
      <w:r w:rsidR="00C437FA" w:rsidRPr="001E1792">
        <w:rPr>
          <w:spacing w:val="-2"/>
          <w:sz w:val="28"/>
          <w:szCs w:val="28"/>
        </w:rPr>
        <w:t>не</w:t>
      </w:r>
      <w:r w:rsidR="0090222E">
        <w:rPr>
          <w:spacing w:val="-2"/>
          <w:sz w:val="28"/>
          <w:szCs w:val="28"/>
        </w:rPr>
        <w:t>біржові</w:t>
      </w:r>
      <w:proofErr w:type="spellEnd"/>
      <w:r w:rsidR="0090222E">
        <w:rPr>
          <w:spacing w:val="-2"/>
          <w:sz w:val="28"/>
          <w:szCs w:val="28"/>
        </w:rPr>
        <w:t xml:space="preserve"> опціони (</w:t>
      </w:r>
      <w:r w:rsidRPr="001E1792">
        <w:rPr>
          <w:spacing w:val="-2"/>
          <w:sz w:val="28"/>
          <w:szCs w:val="28"/>
        </w:rPr>
        <w:t>врегульовують</w:t>
      </w:r>
      <w:r w:rsidR="0090222E">
        <w:rPr>
          <w:spacing w:val="-2"/>
          <w:sz w:val="28"/>
          <w:szCs w:val="28"/>
        </w:rPr>
        <w:t>ся</w:t>
      </w:r>
      <w:r w:rsidRPr="001E1792">
        <w:rPr>
          <w:spacing w:val="-2"/>
          <w:sz w:val="28"/>
          <w:szCs w:val="28"/>
        </w:rPr>
        <w:t xml:space="preserve"> ризики довіри сторін, оскільки дані угоди укладаються між сторонами, які довіряють один одному, та забезпечують короткострокове фінансування експорту</w:t>
      </w:r>
      <w:r w:rsidR="0090222E">
        <w:rPr>
          <w:spacing w:val="-2"/>
          <w:sz w:val="28"/>
          <w:szCs w:val="28"/>
        </w:rPr>
        <w:t>)</w:t>
      </w:r>
      <w:r w:rsidRPr="001E1792">
        <w:rPr>
          <w:spacing w:val="-2"/>
          <w:sz w:val="28"/>
          <w:szCs w:val="28"/>
        </w:rPr>
        <w:t>;</w:t>
      </w:r>
    </w:p>
    <w:p w:rsidR="000D6DC8" w:rsidRPr="001E1792" w:rsidRDefault="000D6DC8" w:rsidP="0090222E">
      <w:pPr>
        <w:spacing w:after="0" w:line="360" w:lineRule="auto"/>
        <w:ind w:firstLine="454"/>
        <w:jc w:val="both"/>
        <w:rPr>
          <w:spacing w:val="-2"/>
          <w:sz w:val="28"/>
          <w:szCs w:val="28"/>
        </w:rPr>
      </w:pPr>
      <w:r w:rsidRPr="001E1792">
        <w:rPr>
          <w:spacing w:val="-2"/>
          <w:sz w:val="28"/>
          <w:szCs w:val="28"/>
        </w:rPr>
        <w:t xml:space="preserve">- якщо ставиться за мету виключно хеджувати ціни, варто використовувати ф’ючерси та біржові опціони </w:t>
      </w:r>
      <w:r w:rsidR="0090222E">
        <w:rPr>
          <w:spacing w:val="-2"/>
          <w:sz w:val="28"/>
          <w:szCs w:val="28"/>
        </w:rPr>
        <w:t>(</w:t>
      </w:r>
      <w:r w:rsidRPr="001E1792">
        <w:rPr>
          <w:spacing w:val="-2"/>
          <w:sz w:val="28"/>
          <w:szCs w:val="28"/>
        </w:rPr>
        <w:t>нівелюють</w:t>
      </w:r>
      <w:r w:rsidR="0090222E">
        <w:rPr>
          <w:spacing w:val="-2"/>
          <w:sz w:val="28"/>
          <w:szCs w:val="28"/>
        </w:rPr>
        <w:t>ся</w:t>
      </w:r>
      <w:r w:rsidRPr="001E1792">
        <w:rPr>
          <w:spacing w:val="-2"/>
          <w:sz w:val="28"/>
          <w:szCs w:val="28"/>
        </w:rPr>
        <w:t xml:space="preserve"> цінові коливання та </w:t>
      </w:r>
      <w:r w:rsidR="0090222E">
        <w:rPr>
          <w:spacing w:val="-2"/>
          <w:sz w:val="28"/>
          <w:szCs w:val="28"/>
        </w:rPr>
        <w:t>забезпечується</w:t>
      </w:r>
      <w:r w:rsidRPr="001E1792">
        <w:rPr>
          <w:spacing w:val="-2"/>
          <w:sz w:val="28"/>
          <w:szCs w:val="28"/>
        </w:rPr>
        <w:t xml:space="preserve"> короткострокове фінансування експорту</w:t>
      </w:r>
      <w:r w:rsidR="0090222E">
        <w:rPr>
          <w:spacing w:val="-2"/>
          <w:sz w:val="28"/>
          <w:szCs w:val="28"/>
        </w:rPr>
        <w:t>)</w:t>
      </w:r>
      <w:r w:rsidRPr="001E1792">
        <w:rPr>
          <w:spacing w:val="-2"/>
          <w:sz w:val="28"/>
          <w:szCs w:val="28"/>
        </w:rPr>
        <w:t>;</w:t>
      </w:r>
    </w:p>
    <w:p w:rsidR="000D6DC8" w:rsidRPr="001E1792" w:rsidRDefault="000D6DC8" w:rsidP="000D6DC8">
      <w:pPr>
        <w:spacing w:after="0" w:line="360" w:lineRule="auto"/>
        <w:ind w:firstLine="454"/>
        <w:jc w:val="both"/>
        <w:rPr>
          <w:spacing w:val="-2"/>
          <w:sz w:val="28"/>
          <w:szCs w:val="28"/>
        </w:rPr>
      </w:pPr>
      <w:r w:rsidRPr="001E1792">
        <w:rPr>
          <w:spacing w:val="-2"/>
          <w:sz w:val="28"/>
          <w:szCs w:val="28"/>
        </w:rPr>
        <w:t>-  якщо потрібно забезпечити цінове хеджування  і отримати фінансовий зиск із цього, часто використовують свопи (кредити, облігації).</w:t>
      </w:r>
    </w:p>
    <w:p w:rsidR="000D6DC8" w:rsidRPr="001E1792" w:rsidRDefault="000D6DC8" w:rsidP="000D6DC8">
      <w:pPr>
        <w:spacing w:after="0" w:line="360" w:lineRule="auto"/>
        <w:ind w:firstLine="454"/>
        <w:jc w:val="both"/>
        <w:rPr>
          <w:spacing w:val="-2"/>
          <w:sz w:val="28"/>
          <w:szCs w:val="28"/>
        </w:rPr>
      </w:pPr>
      <w:r w:rsidRPr="001E1792">
        <w:rPr>
          <w:spacing w:val="-2"/>
          <w:sz w:val="28"/>
          <w:szCs w:val="28"/>
        </w:rPr>
        <w:t xml:space="preserve">Узагальнено інструменти управління ризиками на біржовому ринку СГП та стратегій їх використання подано в таблиці 1. </w:t>
      </w:r>
    </w:p>
    <w:p w:rsidR="009A5F4F" w:rsidRDefault="0090222E" w:rsidP="00772FB0">
      <w:pPr>
        <w:spacing w:after="0" w:line="360" w:lineRule="auto"/>
        <w:ind w:firstLine="454"/>
        <w:jc w:val="both"/>
        <w:rPr>
          <w:bCs/>
          <w:sz w:val="28"/>
          <w:szCs w:val="28"/>
        </w:rPr>
      </w:pPr>
      <w:r w:rsidRPr="001E1792">
        <w:rPr>
          <w:spacing w:val="-2"/>
          <w:sz w:val="28"/>
          <w:szCs w:val="28"/>
        </w:rPr>
        <w:t xml:space="preserve">Більшість інструментів є </w:t>
      </w:r>
      <w:proofErr w:type="spellStart"/>
      <w:r w:rsidRPr="001E1792">
        <w:rPr>
          <w:spacing w:val="-2"/>
          <w:sz w:val="28"/>
          <w:szCs w:val="28"/>
        </w:rPr>
        <w:t>небіржовими</w:t>
      </w:r>
      <w:proofErr w:type="spellEnd"/>
      <w:r w:rsidRPr="001E1792">
        <w:rPr>
          <w:spacing w:val="-2"/>
          <w:sz w:val="28"/>
          <w:szCs w:val="28"/>
        </w:rPr>
        <w:t xml:space="preserve">. </w:t>
      </w:r>
      <w:r w:rsidRPr="001E1792">
        <w:rPr>
          <w:bCs/>
          <w:sz w:val="28"/>
          <w:szCs w:val="28"/>
        </w:rPr>
        <w:t xml:space="preserve">Втім вся світова торгівля біржовими і </w:t>
      </w:r>
      <w:proofErr w:type="spellStart"/>
      <w:r w:rsidRPr="001E1792">
        <w:rPr>
          <w:bCs/>
          <w:sz w:val="28"/>
          <w:szCs w:val="28"/>
        </w:rPr>
        <w:t>небіржовими</w:t>
      </w:r>
      <w:proofErr w:type="spellEnd"/>
      <w:r w:rsidRPr="001E1792">
        <w:rPr>
          <w:bCs/>
          <w:sz w:val="28"/>
          <w:szCs w:val="28"/>
        </w:rPr>
        <w:t xml:space="preserve"> інструментами свідчить про домі</w:t>
      </w:r>
      <w:r w:rsidR="00C71B5C">
        <w:rPr>
          <w:bCs/>
          <w:sz w:val="28"/>
          <w:szCs w:val="28"/>
        </w:rPr>
        <w:t>нування позабіржового сектору (</w:t>
      </w:r>
      <w:r w:rsidRPr="001E1792">
        <w:rPr>
          <w:bCs/>
          <w:sz w:val="28"/>
          <w:szCs w:val="28"/>
        </w:rPr>
        <w:t>близько 90% ринку деривативів</w:t>
      </w:r>
      <w:r w:rsidR="00C71B5C">
        <w:rPr>
          <w:bCs/>
          <w:sz w:val="28"/>
          <w:szCs w:val="28"/>
        </w:rPr>
        <w:t>)</w:t>
      </w:r>
      <w:r w:rsidRPr="001E1792">
        <w:rPr>
          <w:bCs/>
          <w:sz w:val="28"/>
          <w:szCs w:val="28"/>
        </w:rPr>
        <w:t>, де левову частку с</w:t>
      </w:r>
      <w:r w:rsidR="00C71B5C">
        <w:rPr>
          <w:bCs/>
          <w:sz w:val="28"/>
          <w:szCs w:val="28"/>
        </w:rPr>
        <w:t>тановлять валютні інструменти (</w:t>
      </w:r>
      <w:r w:rsidRPr="001E1792">
        <w:rPr>
          <w:bCs/>
          <w:sz w:val="28"/>
          <w:szCs w:val="28"/>
        </w:rPr>
        <w:t>понад 70%</w:t>
      </w:r>
      <w:r w:rsidR="00C71B5C">
        <w:rPr>
          <w:bCs/>
          <w:sz w:val="28"/>
          <w:szCs w:val="28"/>
        </w:rPr>
        <w:t>)</w:t>
      </w:r>
      <w:r w:rsidRPr="001E1792">
        <w:rPr>
          <w:bCs/>
          <w:sz w:val="28"/>
          <w:szCs w:val="28"/>
        </w:rPr>
        <w:t>. На біржовому ринку переважає торгівля ф’ючерс</w:t>
      </w:r>
      <w:r w:rsidR="00C71B5C">
        <w:rPr>
          <w:bCs/>
          <w:sz w:val="28"/>
          <w:szCs w:val="28"/>
        </w:rPr>
        <w:t>ами</w:t>
      </w:r>
      <w:r w:rsidRPr="001E1792">
        <w:rPr>
          <w:bCs/>
          <w:sz w:val="28"/>
          <w:szCs w:val="28"/>
        </w:rPr>
        <w:t xml:space="preserve"> і опціон</w:t>
      </w:r>
      <w:r w:rsidR="00C71B5C">
        <w:rPr>
          <w:bCs/>
          <w:sz w:val="28"/>
          <w:szCs w:val="28"/>
        </w:rPr>
        <w:t>ами (</w:t>
      </w:r>
      <w:r w:rsidRPr="001E1792">
        <w:rPr>
          <w:bCs/>
          <w:sz w:val="28"/>
          <w:szCs w:val="28"/>
        </w:rPr>
        <w:t>більше 70%</w:t>
      </w:r>
      <w:r w:rsidR="00C71B5C">
        <w:rPr>
          <w:bCs/>
          <w:sz w:val="28"/>
          <w:szCs w:val="28"/>
        </w:rPr>
        <w:t>)</w:t>
      </w:r>
      <w:r w:rsidRPr="001E1792">
        <w:rPr>
          <w:bCs/>
          <w:sz w:val="28"/>
          <w:szCs w:val="28"/>
        </w:rPr>
        <w:t>. Хоча показники сумарної та середньої номінальних вартостей суттєво відрізняються: так за співвідношеннями небіржового та біржового ринку вони становлять приблизно 80:20 проти 45:55 відповідно [</w:t>
      </w:r>
      <w:r w:rsidR="00772FB0">
        <w:rPr>
          <w:bCs/>
          <w:sz w:val="28"/>
          <w:szCs w:val="28"/>
        </w:rPr>
        <w:t>5</w:t>
      </w:r>
      <w:r w:rsidRPr="001E1792">
        <w:rPr>
          <w:bCs/>
          <w:sz w:val="28"/>
          <w:szCs w:val="28"/>
        </w:rPr>
        <w:t>].</w:t>
      </w:r>
      <w:r w:rsidR="00C71B5C">
        <w:rPr>
          <w:bCs/>
          <w:sz w:val="28"/>
          <w:szCs w:val="28"/>
        </w:rPr>
        <w:t xml:space="preserve"> </w:t>
      </w:r>
    </w:p>
    <w:p w:rsidR="00C71B5C" w:rsidRPr="001E1792" w:rsidRDefault="00C71B5C" w:rsidP="00772FB0">
      <w:pPr>
        <w:spacing w:after="0" w:line="360" w:lineRule="auto"/>
        <w:ind w:firstLine="454"/>
        <w:jc w:val="both"/>
        <w:rPr>
          <w:bCs/>
          <w:sz w:val="28"/>
          <w:szCs w:val="28"/>
        </w:rPr>
      </w:pPr>
      <w:r w:rsidRPr="001E1792">
        <w:rPr>
          <w:bCs/>
          <w:sz w:val="28"/>
          <w:szCs w:val="28"/>
        </w:rPr>
        <w:t>Пояснюється це тим, щоб біржовий оборот формується за рахунок контрактів, які перепродаються, коли на позабіржовому ринку усі угоди закінчуються закриттям позицій. Позабіржовий оборот утворюється виключно за рахунок укладення нових угод.</w:t>
      </w:r>
    </w:p>
    <w:p w:rsidR="009A5F4F" w:rsidRPr="001E1792" w:rsidRDefault="009A5F4F" w:rsidP="00C71B5C">
      <w:pPr>
        <w:spacing w:after="0" w:line="360" w:lineRule="auto"/>
        <w:ind w:firstLine="454"/>
        <w:jc w:val="both"/>
        <w:rPr>
          <w:spacing w:val="-2"/>
          <w:sz w:val="28"/>
          <w:szCs w:val="28"/>
        </w:rPr>
        <w:sectPr w:rsidR="009A5F4F" w:rsidRPr="001E1792" w:rsidSect="00CF74F7">
          <w:footerReference w:type="default" r:id="rId8"/>
          <w:pgSz w:w="11906" w:h="16838"/>
          <w:pgMar w:top="1134" w:right="1134" w:bottom="1134" w:left="1134" w:header="709" w:footer="709" w:gutter="0"/>
          <w:pgNumType w:start="383"/>
          <w:cols w:space="708"/>
          <w:docGrid w:linePitch="360"/>
        </w:sectPr>
      </w:pPr>
    </w:p>
    <w:p w:rsidR="000D6DC8" w:rsidRPr="001E1792" w:rsidRDefault="00EB68B2" w:rsidP="00EB68B2">
      <w:pPr>
        <w:spacing w:after="0" w:line="360" w:lineRule="auto"/>
        <w:ind w:firstLine="454"/>
        <w:jc w:val="right"/>
        <w:rPr>
          <w:spacing w:val="-2"/>
          <w:sz w:val="28"/>
          <w:szCs w:val="28"/>
        </w:rPr>
      </w:pPr>
      <w:r w:rsidRPr="001E1792">
        <w:rPr>
          <w:spacing w:val="-2"/>
          <w:sz w:val="28"/>
          <w:szCs w:val="28"/>
        </w:rPr>
        <w:lastRenderedPageBreak/>
        <w:t xml:space="preserve">Таблиця </w:t>
      </w:r>
      <w:r w:rsidR="000D6DC8" w:rsidRPr="001E1792">
        <w:rPr>
          <w:spacing w:val="-2"/>
          <w:sz w:val="28"/>
          <w:szCs w:val="28"/>
        </w:rPr>
        <w:t>1</w:t>
      </w:r>
    </w:p>
    <w:p w:rsidR="000D6DC8" w:rsidRPr="001E1792" w:rsidRDefault="00F45F71" w:rsidP="00453582">
      <w:pPr>
        <w:spacing w:after="0" w:line="360" w:lineRule="auto"/>
        <w:ind w:firstLine="454"/>
        <w:jc w:val="center"/>
        <w:rPr>
          <w:b/>
          <w:bCs/>
          <w:spacing w:val="-2"/>
          <w:sz w:val="28"/>
          <w:szCs w:val="28"/>
        </w:rPr>
      </w:pPr>
      <w:r w:rsidRPr="001E1792">
        <w:rPr>
          <w:b/>
          <w:bCs/>
          <w:spacing w:val="-2"/>
          <w:sz w:val="28"/>
          <w:szCs w:val="28"/>
        </w:rPr>
        <w:t>І</w:t>
      </w:r>
      <w:r w:rsidR="000D6DC8" w:rsidRPr="001E1792">
        <w:rPr>
          <w:b/>
          <w:bCs/>
          <w:spacing w:val="-2"/>
          <w:sz w:val="28"/>
          <w:szCs w:val="28"/>
        </w:rPr>
        <w:t xml:space="preserve">нструменти ризик-менеджменту </w:t>
      </w:r>
      <w:r w:rsidRPr="001E1792">
        <w:rPr>
          <w:b/>
          <w:bCs/>
          <w:spacing w:val="-2"/>
          <w:sz w:val="28"/>
          <w:szCs w:val="28"/>
        </w:rPr>
        <w:t>у біржовій торгівлі СГП</w:t>
      </w:r>
      <w:r w:rsidR="000D6DC8" w:rsidRPr="001E1792">
        <w:rPr>
          <w:b/>
          <w:bCs/>
          <w:spacing w:val="-2"/>
          <w:sz w:val="28"/>
          <w:szCs w:val="28"/>
        </w:rPr>
        <w:t>*</w:t>
      </w:r>
    </w:p>
    <w:tbl>
      <w:tblPr>
        <w:tblW w:w="539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1275"/>
        <w:gridCol w:w="1275"/>
        <w:gridCol w:w="2980"/>
        <w:gridCol w:w="8503"/>
      </w:tblGrid>
      <w:tr w:rsidR="000D6DC8" w:rsidRPr="001E1792" w:rsidTr="001D7A27">
        <w:trPr>
          <w:cantSplit/>
          <w:trHeight w:val="1015"/>
        </w:trPr>
        <w:tc>
          <w:tcPr>
            <w:tcW w:w="541" w:type="pct"/>
            <w:vAlign w:val="center"/>
          </w:tcPr>
          <w:p w:rsidR="000D6DC8" w:rsidRPr="001E1792" w:rsidRDefault="000D6DC8" w:rsidP="001D7A27">
            <w:pPr>
              <w:spacing w:after="0"/>
              <w:jc w:val="center"/>
              <w:rPr>
                <w:spacing w:val="-2"/>
                <w:sz w:val="22"/>
                <w:szCs w:val="22"/>
              </w:rPr>
            </w:pPr>
            <w:r w:rsidRPr="001E1792">
              <w:rPr>
                <w:spacing w:val="-2"/>
                <w:sz w:val="22"/>
                <w:szCs w:val="22"/>
              </w:rPr>
              <w:t>Інструмент</w:t>
            </w:r>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Класифікація за UNCTAD</w:t>
            </w:r>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Класифікація за сферою застосування</w:t>
            </w:r>
          </w:p>
        </w:tc>
        <w:tc>
          <w:tcPr>
            <w:tcW w:w="947" w:type="pct"/>
            <w:vAlign w:val="center"/>
          </w:tcPr>
          <w:p w:rsidR="000D6DC8" w:rsidRPr="001E1792" w:rsidRDefault="000D6DC8" w:rsidP="001D7A27">
            <w:pPr>
              <w:spacing w:after="0"/>
              <w:jc w:val="center"/>
              <w:rPr>
                <w:spacing w:val="-2"/>
                <w:sz w:val="22"/>
                <w:szCs w:val="22"/>
              </w:rPr>
            </w:pPr>
            <w:r w:rsidRPr="001E1792">
              <w:rPr>
                <w:spacing w:val="-2"/>
                <w:sz w:val="22"/>
                <w:szCs w:val="22"/>
              </w:rPr>
              <w:t>Види ризик-менеджменту</w:t>
            </w:r>
          </w:p>
        </w:tc>
        <w:tc>
          <w:tcPr>
            <w:tcW w:w="2703" w:type="pct"/>
            <w:vAlign w:val="center"/>
          </w:tcPr>
          <w:p w:rsidR="000D6DC8" w:rsidRPr="001E1792" w:rsidRDefault="000D6DC8" w:rsidP="001D7A27">
            <w:pPr>
              <w:spacing w:after="0"/>
              <w:jc w:val="center"/>
              <w:rPr>
                <w:spacing w:val="-2"/>
                <w:sz w:val="22"/>
                <w:szCs w:val="22"/>
              </w:rPr>
            </w:pPr>
            <w:r w:rsidRPr="001E1792">
              <w:rPr>
                <w:spacing w:val="-2"/>
                <w:sz w:val="22"/>
                <w:szCs w:val="22"/>
              </w:rPr>
              <w:t>Ознаки інструменту</w:t>
            </w:r>
          </w:p>
        </w:tc>
      </w:tr>
      <w:tr w:rsidR="000D6DC8" w:rsidRPr="001E1792" w:rsidTr="001D7A27">
        <w:trPr>
          <w:cantSplit/>
          <w:trHeight w:val="1134"/>
        </w:trPr>
        <w:tc>
          <w:tcPr>
            <w:tcW w:w="541" w:type="pct"/>
            <w:vAlign w:val="center"/>
          </w:tcPr>
          <w:p w:rsidR="000D6DC8" w:rsidRPr="001E1792" w:rsidRDefault="000D6DC8" w:rsidP="001D7A27">
            <w:pPr>
              <w:spacing w:after="0"/>
              <w:jc w:val="center"/>
              <w:rPr>
                <w:spacing w:val="-2"/>
                <w:sz w:val="22"/>
                <w:szCs w:val="22"/>
              </w:rPr>
            </w:pPr>
            <w:r w:rsidRPr="001E1792">
              <w:rPr>
                <w:spacing w:val="-2"/>
                <w:sz w:val="22"/>
                <w:szCs w:val="22"/>
              </w:rPr>
              <w:t>форвард (</w:t>
            </w:r>
            <w:proofErr w:type="spellStart"/>
            <w:r w:rsidRPr="001E1792">
              <w:rPr>
                <w:spacing w:val="-2"/>
                <w:sz w:val="22"/>
                <w:szCs w:val="22"/>
              </w:rPr>
              <w:t>поставочний</w:t>
            </w:r>
            <w:proofErr w:type="spellEnd"/>
            <w:r w:rsidRPr="001E1792">
              <w:rPr>
                <w:spacing w:val="-2"/>
                <w:sz w:val="22"/>
                <w:szCs w:val="22"/>
              </w:rPr>
              <w:t xml:space="preserve"> / </w:t>
            </w:r>
            <w:proofErr w:type="spellStart"/>
            <w:r w:rsidRPr="001E1792">
              <w:rPr>
                <w:spacing w:val="-2"/>
                <w:sz w:val="22"/>
                <w:szCs w:val="22"/>
              </w:rPr>
              <w:t>безпоставочний</w:t>
            </w:r>
            <w:proofErr w:type="spellEnd"/>
            <w:r w:rsidRPr="001E1792">
              <w:rPr>
                <w:spacing w:val="-2"/>
                <w:sz w:val="22"/>
                <w:szCs w:val="22"/>
              </w:rPr>
              <w:t>)</w:t>
            </w:r>
          </w:p>
        </w:tc>
        <w:tc>
          <w:tcPr>
            <w:tcW w:w="405" w:type="pct"/>
            <w:vAlign w:val="center"/>
          </w:tcPr>
          <w:p w:rsidR="000D6DC8" w:rsidRPr="001E1792" w:rsidRDefault="000D6DC8" w:rsidP="001D7A27">
            <w:pPr>
              <w:spacing w:after="0"/>
              <w:jc w:val="center"/>
              <w:rPr>
                <w:spacing w:val="-2"/>
                <w:sz w:val="22"/>
                <w:szCs w:val="22"/>
              </w:rPr>
            </w:pPr>
            <w:proofErr w:type="spellStart"/>
            <w:r w:rsidRPr="001E1792">
              <w:rPr>
                <w:spacing w:val="-2"/>
                <w:sz w:val="22"/>
                <w:szCs w:val="22"/>
              </w:rPr>
              <w:t>небіржовий</w:t>
            </w:r>
            <w:proofErr w:type="spellEnd"/>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маркетинг</w:t>
            </w:r>
          </w:p>
        </w:tc>
        <w:tc>
          <w:tcPr>
            <w:tcW w:w="947" w:type="pct"/>
          </w:tcPr>
          <w:p w:rsidR="000D6DC8" w:rsidRPr="001E1792" w:rsidRDefault="000D6DC8" w:rsidP="001D7A27">
            <w:pPr>
              <w:spacing w:after="0"/>
              <w:rPr>
                <w:spacing w:val="-2"/>
                <w:sz w:val="22"/>
                <w:szCs w:val="22"/>
              </w:rPr>
            </w:pPr>
            <w:r w:rsidRPr="001E1792">
              <w:rPr>
                <w:spacing w:val="-2"/>
                <w:sz w:val="22"/>
                <w:szCs w:val="22"/>
              </w:rPr>
              <w:t>1. хеджування</w:t>
            </w:r>
          </w:p>
          <w:p w:rsidR="000D6DC8" w:rsidRPr="001E1792" w:rsidRDefault="000D6DC8" w:rsidP="001D7A27">
            <w:pPr>
              <w:spacing w:after="0"/>
              <w:rPr>
                <w:spacing w:val="-2"/>
                <w:sz w:val="22"/>
                <w:szCs w:val="22"/>
              </w:rPr>
            </w:pPr>
            <w:r w:rsidRPr="001E1792">
              <w:rPr>
                <w:spacing w:val="-2"/>
                <w:sz w:val="22"/>
                <w:szCs w:val="22"/>
              </w:rPr>
              <w:t>2. невиконання зобов’язань</w:t>
            </w:r>
          </w:p>
          <w:p w:rsidR="000D6DC8" w:rsidRPr="001E1792" w:rsidRDefault="000D6DC8" w:rsidP="001D7A27">
            <w:pPr>
              <w:spacing w:after="0"/>
              <w:rPr>
                <w:spacing w:val="-2"/>
                <w:sz w:val="22"/>
                <w:szCs w:val="22"/>
              </w:rPr>
            </w:pPr>
            <w:r w:rsidRPr="001E1792">
              <w:rPr>
                <w:spacing w:val="-2"/>
                <w:sz w:val="22"/>
                <w:szCs w:val="22"/>
              </w:rPr>
              <w:t>3. неможливості  закрити угоду до закінчення терміну виконання</w:t>
            </w:r>
          </w:p>
          <w:p w:rsidR="000D6DC8" w:rsidRPr="001E1792" w:rsidRDefault="000D6DC8" w:rsidP="001D7A27">
            <w:pPr>
              <w:spacing w:after="0"/>
              <w:rPr>
                <w:spacing w:val="-2"/>
                <w:sz w:val="22"/>
                <w:szCs w:val="22"/>
              </w:rPr>
            </w:pPr>
            <w:r w:rsidRPr="001E1792">
              <w:rPr>
                <w:spacing w:val="-2"/>
                <w:sz w:val="22"/>
                <w:szCs w:val="22"/>
              </w:rPr>
              <w:t>4. фінансування короткострокового  фінансового експорту</w:t>
            </w:r>
          </w:p>
        </w:tc>
        <w:tc>
          <w:tcPr>
            <w:tcW w:w="2703" w:type="pct"/>
          </w:tcPr>
          <w:p w:rsidR="000D6DC8" w:rsidRPr="001E1792" w:rsidRDefault="000D6DC8" w:rsidP="001D7A27">
            <w:pPr>
              <w:spacing w:after="0"/>
              <w:rPr>
                <w:spacing w:val="-2"/>
                <w:sz w:val="22"/>
                <w:szCs w:val="22"/>
              </w:rPr>
            </w:pPr>
            <w:r w:rsidRPr="001E1792">
              <w:rPr>
                <w:spacing w:val="-2"/>
                <w:sz w:val="22"/>
                <w:szCs w:val="22"/>
              </w:rPr>
              <w:t>1. купівля /продаж конкретного товару у майбутньому з фіксацією ціни в момент укладення угоди</w:t>
            </w:r>
          </w:p>
          <w:p w:rsidR="000D6DC8" w:rsidRPr="001E1792" w:rsidRDefault="000D6DC8" w:rsidP="001D7A27">
            <w:pPr>
              <w:spacing w:after="0"/>
              <w:rPr>
                <w:spacing w:val="-2"/>
                <w:sz w:val="22"/>
                <w:szCs w:val="22"/>
              </w:rPr>
            </w:pPr>
            <w:r w:rsidRPr="001E1792">
              <w:rPr>
                <w:spacing w:val="-2"/>
                <w:sz w:val="22"/>
                <w:szCs w:val="22"/>
              </w:rPr>
              <w:t>2. рух коштів  - в момент укладення відсутнє попереднє депонування фінансових ресурсів</w:t>
            </w:r>
          </w:p>
          <w:p w:rsidR="000D6DC8" w:rsidRPr="001E1792" w:rsidRDefault="000D6DC8" w:rsidP="001D7A27">
            <w:pPr>
              <w:spacing w:after="0"/>
              <w:rPr>
                <w:spacing w:val="-2"/>
                <w:sz w:val="22"/>
                <w:szCs w:val="22"/>
              </w:rPr>
            </w:pPr>
            <w:r w:rsidRPr="001E1792">
              <w:rPr>
                <w:spacing w:val="-2"/>
                <w:sz w:val="22"/>
                <w:szCs w:val="22"/>
              </w:rPr>
              <w:t>3. передбачає переважно фізичну поставку товару</w:t>
            </w:r>
          </w:p>
          <w:p w:rsidR="000D6DC8" w:rsidRPr="001E1792" w:rsidRDefault="000D6DC8" w:rsidP="001D7A27">
            <w:pPr>
              <w:spacing w:after="0"/>
              <w:rPr>
                <w:spacing w:val="-2"/>
                <w:sz w:val="22"/>
                <w:szCs w:val="22"/>
              </w:rPr>
            </w:pPr>
            <w:r w:rsidRPr="001E1792">
              <w:rPr>
                <w:spacing w:val="-2"/>
                <w:sz w:val="22"/>
                <w:szCs w:val="22"/>
              </w:rPr>
              <w:t>4. базується на довірі сторін угоди</w:t>
            </w:r>
          </w:p>
          <w:p w:rsidR="000D6DC8" w:rsidRPr="001E1792" w:rsidRDefault="000D6DC8" w:rsidP="001D7A27">
            <w:pPr>
              <w:spacing w:after="0"/>
              <w:rPr>
                <w:spacing w:val="-2"/>
                <w:sz w:val="22"/>
                <w:szCs w:val="22"/>
              </w:rPr>
            </w:pPr>
            <w:r w:rsidRPr="001E1792">
              <w:rPr>
                <w:spacing w:val="-2"/>
                <w:sz w:val="22"/>
                <w:szCs w:val="22"/>
              </w:rPr>
              <w:t>5.середньо- та короткострокові терміни  виконання (3-18 міс.)</w:t>
            </w:r>
          </w:p>
          <w:p w:rsidR="000D6DC8" w:rsidRPr="001E1792" w:rsidRDefault="000D6DC8" w:rsidP="001D7A27">
            <w:pPr>
              <w:spacing w:after="0"/>
              <w:rPr>
                <w:spacing w:val="-2"/>
                <w:sz w:val="22"/>
                <w:szCs w:val="22"/>
              </w:rPr>
            </w:pPr>
            <w:r w:rsidRPr="001E1792">
              <w:rPr>
                <w:spacing w:val="-2"/>
                <w:sz w:val="22"/>
                <w:szCs w:val="22"/>
              </w:rPr>
              <w:t>6. основні користувачі – виробники та споживачі товарів</w:t>
            </w:r>
          </w:p>
          <w:p w:rsidR="000D6DC8" w:rsidRPr="001E1792" w:rsidRDefault="000D6DC8" w:rsidP="001D7A27">
            <w:pPr>
              <w:spacing w:after="0"/>
              <w:rPr>
                <w:spacing w:val="-2"/>
                <w:sz w:val="22"/>
                <w:szCs w:val="22"/>
              </w:rPr>
            </w:pPr>
            <w:r w:rsidRPr="001E1792">
              <w:rPr>
                <w:spacing w:val="-2"/>
                <w:sz w:val="22"/>
                <w:szCs w:val="22"/>
              </w:rPr>
              <w:t>7. передбачає індивідуальний підхід до укладення угод</w:t>
            </w:r>
          </w:p>
        </w:tc>
      </w:tr>
      <w:tr w:rsidR="000D6DC8" w:rsidRPr="001E1792" w:rsidTr="001D7A27">
        <w:trPr>
          <w:cantSplit/>
          <w:trHeight w:val="1134"/>
        </w:trPr>
        <w:tc>
          <w:tcPr>
            <w:tcW w:w="541" w:type="pct"/>
            <w:vAlign w:val="center"/>
          </w:tcPr>
          <w:p w:rsidR="000D6DC8" w:rsidRPr="001E1792" w:rsidRDefault="000D6DC8" w:rsidP="001D7A27">
            <w:pPr>
              <w:spacing w:after="0"/>
              <w:jc w:val="center"/>
              <w:rPr>
                <w:spacing w:val="-2"/>
                <w:sz w:val="22"/>
                <w:szCs w:val="22"/>
              </w:rPr>
            </w:pPr>
            <w:r w:rsidRPr="001E1792">
              <w:rPr>
                <w:spacing w:val="-2"/>
                <w:sz w:val="22"/>
                <w:szCs w:val="22"/>
              </w:rPr>
              <w:t>ф’ючерс (</w:t>
            </w:r>
            <w:proofErr w:type="spellStart"/>
            <w:r w:rsidRPr="001E1792">
              <w:rPr>
                <w:spacing w:val="-2"/>
                <w:sz w:val="22"/>
                <w:szCs w:val="22"/>
              </w:rPr>
              <w:t>поставочний</w:t>
            </w:r>
            <w:proofErr w:type="spellEnd"/>
            <w:r w:rsidRPr="001E1792">
              <w:rPr>
                <w:spacing w:val="-2"/>
                <w:sz w:val="22"/>
                <w:szCs w:val="22"/>
              </w:rPr>
              <w:t xml:space="preserve"> / </w:t>
            </w:r>
            <w:proofErr w:type="spellStart"/>
            <w:r w:rsidRPr="001E1792">
              <w:rPr>
                <w:spacing w:val="-2"/>
                <w:sz w:val="22"/>
                <w:szCs w:val="22"/>
              </w:rPr>
              <w:t>безпоставочний</w:t>
            </w:r>
            <w:proofErr w:type="spellEnd"/>
            <w:r w:rsidRPr="001E1792">
              <w:rPr>
                <w:spacing w:val="-2"/>
                <w:sz w:val="22"/>
                <w:szCs w:val="22"/>
              </w:rPr>
              <w:t>)</w:t>
            </w:r>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біржовий</w:t>
            </w:r>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маркетинг /фінанси</w:t>
            </w:r>
          </w:p>
        </w:tc>
        <w:tc>
          <w:tcPr>
            <w:tcW w:w="947" w:type="pct"/>
          </w:tcPr>
          <w:p w:rsidR="000D6DC8" w:rsidRPr="001E1792" w:rsidRDefault="000D6DC8" w:rsidP="001D7A27">
            <w:pPr>
              <w:spacing w:after="0"/>
              <w:rPr>
                <w:spacing w:val="-2"/>
                <w:sz w:val="22"/>
                <w:szCs w:val="22"/>
              </w:rPr>
            </w:pPr>
            <w:r w:rsidRPr="001E1792">
              <w:rPr>
                <w:spacing w:val="-2"/>
                <w:sz w:val="22"/>
                <w:szCs w:val="22"/>
              </w:rPr>
              <w:t>1. хеджування</w:t>
            </w:r>
          </w:p>
          <w:p w:rsidR="000D6DC8" w:rsidRPr="001E1792" w:rsidRDefault="000D6DC8" w:rsidP="001D7A27">
            <w:pPr>
              <w:spacing w:after="0"/>
              <w:rPr>
                <w:spacing w:val="-2"/>
                <w:sz w:val="22"/>
                <w:szCs w:val="22"/>
              </w:rPr>
            </w:pPr>
            <w:r w:rsidRPr="001E1792">
              <w:rPr>
                <w:spacing w:val="-2"/>
                <w:sz w:val="22"/>
                <w:szCs w:val="22"/>
              </w:rPr>
              <w:t>2.гарантування зобов’язань (маржа)</w:t>
            </w:r>
          </w:p>
          <w:p w:rsidR="000D6DC8" w:rsidRPr="001E1792" w:rsidRDefault="000D6DC8" w:rsidP="001D7A27">
            <w:pPr>
              <w:spacing w:after="0"/>
              <w:rPr>
                <w:spacing w:val="-2"/>
                <w:sz w:val="22"/>
                <w:szCs w:val="22"/>
              </w:rPr>
            </w:pPr>
            <w:r w:rsidRPr="001E1792">
              <w:rPr>
                <w:spacing w:val="-2"/>
                <w:sz w:val="22"/>
                <w:szCs w:val="22"/>
              </w:rPr>
              <w:t>3. отримання короткострокових  фінансових прибутків</w:t>
            </w:r>
          </w:p>
        </w:tc>
        <w:tc>
          <w:tcPr>
            <w:tcW w:w="2703" w:type="pct"/>
          </w:tcPr>
          <w:p w:rsidR="000D6DC8" w:rsidRPr="001E1792" w:rsidRDefault="000D6DC8" w:rsidP="001D7A27">
            <w:pPr>
              <w:spacing w:after="0"/>
              <w:rPr>
                <w:spacing w:val="-2"/>
                <w:sz w:val="22"/>
                <w:szCs w:val="22"/>
              </w:rPr>
            </w:pPr>
            <w:r w:rsidRPr="001E1792">
              <w:rPr>
                <w:spacing w:val="-2"/>
                <w:sz w:val="22"/>
                <w:szCs w:val="22"/>
              </w:rPr>
              <w:t>1. купівля /продаж конкретного товару у майбутньому за встановленням ціни в момент виконання угоди</w:t>
            </w:r>
          </w:p>
          <w:p w:rsidR="000D6DC8" w:rsidRPr="001E1792" w:rsidRDefault="000D6DC8" w:rsidP="001D7A27">
            <w:pPr>
              <w:spacing w:after="0"/>
              <w:rPr>
                <w:spacing w:val="-2"/>
                <w:sz w:val="22"/>
                <w:szCs w:val="22"/>
              </w:rPr>
            </w:pPr>
            <w:r w:rsidRPr="001E1792">
              <w:rPr>
                <w:spacing w:val="-2"/>
                <w:sz w:val="22"/>
                <w:szCs w:val="22"/>
              </w:rPr>
              <w:t>2. рух коштів - в момент укладення відбувається попереднє депонування фінансових ресурсів</w:t>
            </w:r>
          </w:p>
          <w:p w:rsidR="000D6DC8" w:rsidRPr="001E1792" w:rsidRDefault="000D6DC8" w:rsidP="001D7A27">
            <w:pPr>
              <w:spacing w:after="0"/>
              <w:rPr>
                <w:spacing w:val="-2"/>
                <w:sz w:val="22"/>
                <w:szCs w:val="22"/>
              </w:rPr>
            </w:pPr>
            <w:r w:rsidRPr="001E1792">
              <w:rPr>
                <w:spacing w:val="-2"/>
                <w:sz w:val="22"/>
                <w:szCs w:val="22"/>
              </w:rPr>
              <w:t>3. може  закінчуватися як поставкою товару так і без неї</w:t>
            </w:r>
          </w:p>
          <w:p w:rsidR="000D6DC8" w:rsidRPr="001E1792" w:rsidRDefault="000D6DC8" w:rsidP="001D7A27">
            <w:pPr>
              <w:spacing w:after="0"/>
              <w:rPr>
                <w:spacing w:val="-2"/>
                <w:sz w:val="22"/>
                <w:szCs w:val="22"/>
              </w:rPr>
            </w:pPr>
            <w:r w:rsidRPr="001E1792">
              <w:rPr>
                <w:spacing w:val="-2"/>
                <w:sz w:val="22"/>
                <w:szCs w:val="22"/>
              </w:rPr>
              <w:t>4. гарантується виконання зобов’язань третьою стороною (кліринг)</w:t>
            </w:r>
          </w:p>
          <w:p w:rsidR="000D6DC8" w:rsidRPr="001E1792" w:rsidRDefault="000D6DC8" w:rsidP="001D7A27">
            <w:pPr>
              <w:spacing w:after="0"/>
              <w:rPr>
                <w:spacing w:val="-2"/>
                <w:sz w:val="22"/>
                <w:szCs w:val="22"/>
              </w:rPr>
            </w:pPr>
            <w:r w:rsidRPr="001E1792">
              <w:rPr>
                <w:spacing w:val="-2"/>
                <w:sz w:val="22"/>
                <w:szCs w:val="22"/>
              </w:rPr>
              <w:t>5.середньо- та довгострокові терміни виконання (18-36 міс.)</w:t>
            </w:r>
          </w:p>
          <w:p w:rsidR="000D6DC8" w:rsidRPr="001E1792" w:rsidRDefault="000D6DC8" w:rsidP="001D7A27">
            <w:pPr>
              <w:spacing w:after="0"/>
              <w:rPr>
                <w:spacing w:val="-2"/>
                <w:sz w:val="22"/>
                <w:szCs w:val="22"/>
              </w:rPr>
            </w:pPr>
            <w:r w:rsidRPr="001E1792">
              <w:rPr>
                <w:spacing w:val="-2"/>
                <w:sz w:val="22"/>
                <w:szCs w:val="22"/>
              </w:rPr>
              <w:t>6. основні користувачі – хеджери, спекулянти</w:t>
            </w:r>
          </w:p>
          <w:p w:rsidR="000D6DC8" w:rsidRPr="001E1792" w:rsidRDefault="000D6DC8" w:rsidP="001D7A27">
            <w:pPr>
              <w:spacing w:after="0"/>
              <w:rPr>
                <w:spacing w:val="-2"/>
                <w:sz w:val="22"/>
                <w:szCs w:val="22"/>
              </w:rPr>
            </w:pPr>
            <w:r w:rsidRPr="001E1792">
              <w:rPr>
                <w:spacing w:val="-2"/>
                <w:sz w:val="22"/>
                <w:szCs w:val="22"/>
              </w:rPr>
              <w:t>7. передбачає оформлення стандартизованого контракту</w:t>
            </w:r>
          </w:p>
        </w:tc>
      </w:tr>
      <w:tr w:rsidR="000D6DC8" w:rsidRPr="001E1792" w:rsidTr="001D7A27">
        <w:trPr>
          <w:cantSplit/>
          <w:trHeight w:val="1134"/>
        </w:trPr>
        <w:tc>
          <w:tcPr>
            <w:tcW w:w="541" w:type="pct"/>
            <w:vAlign w:val="center"/>
          </w:tcPr>
          <w:p w:rsidR="000D6DC8" w:rsidRPr="001E1792" w:rsidRDefault="000D6DC8" w:rsidP="001D7A27">
            <w:pPr>
              <w:spacing w:after="0"/>
              <w:jc w:val="center"/>
              <w:rPr>
                <w:spacing w:val="-2"/>
                <w:sz w:val="22"/>
                <w:szCs w:val="22"/>
              </w:rPr>
            </w:pPr>
            <w:proofErr w:type="spellStart"/>
            <w:r w:rsidRPr="001E1792">
              <w:rPr>
                <w:spacing w:val="-2"/>
                <w:sz w:val="22"/>
                <w:szCs w:val="22"/>
              </w:rPr>
              <w:t>своп</w:t>
            </w:r>
            <w:proofErr w:type="spellEnd"/>
          </w:p>
        </w:tc>
        <w:tc>
          <w:tcPr>
            <w:tcW w:w="405" w:type="pct"/>
            <w:vAlign w:val="center"/>
          </w:tcPr>
          <w:p w:rsidR="000D6DC8" w:rsidRPr="001E1792" w:rsidRDefault="000D6DC8" w:rsidP="001D7A27">
            <w:pPr>
              <w:spacing w:after="0"/>
              <w:jc w:val="center"/>
              <w:rPr>
                <w:spacing w:val="-2"/>
                <w:sz w:val="22"/>
                <w:szCs w:val="22"/>
              </w:rPr>
            </w:pPr>
            <w:proofErr w:type="spellStart"/>
            <w:r w:rsidRPr="001E1792">
              <w:rPr>
                <w:spacing w:val="-2"/>
                <w:sz w:val="22"/>
                <w:szCs w:val="22"/>
              </w:rPr>
              <w:t>небіржовий</w:t>
            </w:r>
            <w:proofErr w:type="spellEnd"/>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фінанси</w:t>
            </w:r>
          </w:p>
        </w:tc>
        <w:tc>
          <w:tcPr>
            <w:tcW w:w="947" w:type="pct"/>
          </w:tcPr>
          <w:p w:rsidR="000D6DC8" w:rsidRPr="001E1792" w:rsidRDefault="000D6DC8" w:rsidP="001D7A27">
            <w:pPr>
              <w:spacing w:after="0"/>
              <w:rPr>
                <w:spacing w:val="-2"/>
                <w:sz w:val="22"/>
                <w:szCs w:val="22"/>
              </w:rPr>
            </w:pPr>
            <w:r w:rsidRPr="001E1792">
              <w:rPr>
                <w:spacing w:val="-2"/>
                <w:sz w:val="22"/>
                <w:szCs w:val="22"/>
              </w:rPr>
              <w:t>1. хеджування (фіксування майбутніх цін у довгострокові терміни)</w:t>
            </w:r>
          </w:p>
          <w:p w:rsidR="000D6DC8" w:rsidRPr="001E1792" w:rsidRDefault="000D6DC8" w:rsidP="001D7A27">
            <w:pPr>
              <w:spacing w:after="0"/>
              <w:rPr>
                <w:spacing w:val="-2"/>
                <w:sz w:val="22"/>
                <w:szCs w:val="22"/>
              </w:rPr>
            </w:pPr>
            <w:r w:rsidRPr="001E1792">
              <w:rPr>
                <w:spacing w:val="-2"/>
                <w:sz w:val="22"/>
                <w:szCs w:val="22"/>
              </w:rPr>
              <w:t>2. невиконання угод</w:t>
            </w:r>
          </w:p>
          <w:p w:rsidR="000D6DC8" w:rsidRPr="001E1792" w:rsidRDefault="000D6DC8" w:rsidP="001D7A27">
            <w:pPr>
              <w:spacing w:after="0"/>
              <w:rPr>
                <w:spacing w:val="-2"/>
                <w:sz w:val="22"/>
                <w:szCs w:val="22"/>
              </w:rPr>
            </w:pPr>
            <w:r w:rsidRPr="001E1792">
              <w:rPr>
                <w:spacing w:val="-2"/>
                <w:sz w:val="22"/>
                <w:szCs w:val="22"/>
              </w:rPr>
              <w:t xml:space="preserve">4.фіксація  витрат виробниками на довгий період </w:t>
            </w:r>
          </w:p>
        </w:tc>
        <w:tc>
          <w:tcPr>
            <w:tcW w:w="2703" w:type="pct"/>
          </w:tcPr>
          <w:p w:rsidR="000D6DC8" w:rsidRPr="001E1792" w:rsidRDefault="000D6DC8" w:rsidP="001D7A27">
            <w:pPr>
              <w:spacing w:after="0"/>
              <w:rPr>
                <w:spacing w:val="-2"/>
                <w:sz w:val="22"/>
                <w:szCs w:val="22"/>
              </w:rPr>
            </w:pPr>
            <w:r w:rsidRPr="001E1792">
              <w:rPr>
                <w:spacing w:val="-2"/>
                <w:sz w:val="22"/>
                <w:szCs w:val="22"/>
              </w:rPr>
              <w:t>1. угода обміну грошовими ресурсами через визначений проміжок часу</w:t>
            </w:r>
          </w:p>
          <w:p w:rsidR="000D6DC8" w:rsidRPr="001E1792" w:rsidRDefault="000D6DC8" w:rsidP="001D7A27">
            <w:pPr>
              <w:spacing w:after="0"/>
              <w:rPr>
                <w:spacing w:val="-2"/>
                <w:sz w:val="22"/>
                <w:szCs w:val="22"/>
              </w:rPr>
            </w:pPr>
            <w:r w:rsidRPr="001E1792">
              <w:rPr>
                <w:spacing w:val="-2"/>
                <w:sz w:val="22"/>
                <w:szCs w:val="22"/>
              </w:rPr>
              <w:t>2. посередниками виступають банки та торгові компанії</w:t>
            </w:r>
          </w:p>
          <w:p w:rsidR="000D6DC8" w:rsidRPr="001E1792" w:rsidRDefault="000D6DC8" w:rsidP="001D7A27">
            <w:pPr>
              <w:spacing w:after="0"/>
              <w:rPr>
                <w:spacing w:val="-2"/>
                <w:sz w:val="22"/>
                <w:szCs w:val="22"/>
              </w:rPr>
            </w:pPr>
            <w:r w:rsidRPr="001E1792">
              <w:rPr>
                <w:spacing w:val="-2"/>
                <w:sz w:val="22"/>
                <w:szCs w:val="22"/>
              </w:rPr>
              <w:t>3. рух коштів  - відбувається після закінчення контракту, вимагається додаткове фінансове гарантування зобов’язань</w:t>
            </w:r>
          </w:p>
          <w:p w:rsidR="000D6DC8" w:rsidRPr="001E1792" w:rsidRDefault="000D6DC8" w:rsidP="001D7A27">
            <w:pPr>
              <w:spacing w:after="0"/>
              <w:rPr>
                <w:spacing w:val="-2"/>
                <w:sz w:val="22"/>
                <w:szCs w:val="22"/>
              </w:rPr>
            </w:pPr>
            <w:r w:rsidRPr="001E1792">
              <w:rPr>
                <w:spacing w:val="-2"/>
                <w:sz w:val="22"/>
                <w:szCs w:val="22"/>
              </w:rPr>
              <w:t xml:space="preserve">4. </w:t>
            </w:r>
            <w:proofErr w:type="spellStart"/>
            <w:r w:rsidRPr="001E1792">
              <w:rPr>
                <w:spacing w:val="-2"/>
                <w:sz w:val="22"/>
                <w:szCs w:val="22"/>
              </w:rPr>
              <w:t>середньо-</w:t>
            </w:r>
            <w:proofErr w:type="spellEnd"/>
            <w:r w:rsidRPr="001E1792">
              <w:rPr>
                <w:spacing w:val="-2"/>
                <w:sz w:val="22"/>
                <w:szCs w:val="22"/>
              </w:rPr>
              <w:t xml:space="preserve"> та довгострокові терміни виконання (від 6 міс. до 15 років)</w:t>
            </w:r>
          </w:p>
          <w:p w:rsidR="000D6DC8" w:rsidRPr="001E1792" w:rsidRDefault="000D6DC8" w:rsidP="001D7A27">
            <w:pPr>
              <w:spacing w:after="0"/>
              <w:rPr>
                <w:spacing w:val="-2"/>
                <w:sz w:val="22"/>
                <w:szCs w:val="22"/>
              </w:rPr>
            </w:pPr>
            <w:r w:rsidRPr="001E1792">
              <w:rPr>
                <w:spacing w:val="-2"/>
                <w:sz w:val="22"/>
                <w:szCs w:val="22"/>
              </w:rPr>
              <w:t>5.не передбачається фізичної поставки товару</w:t>
            </w:r>
          </w:p>
          <w:p w:rsidR="000D6DC8" w:rsidRPr="001E1792" w:rsidRDefault="000D6DC8" w:rsidP="001D7A27">
            <w:pPr>
              <w:spacing w:after="0"/>
              <w:rPr>
                <w:spacing w:val="-2"/>
                <w:sz w:val="22"/>
                <w:szCs w:val="22"/>
              </w:rPr>
            </w:pPr>
            <w:r w:rsidRPr="001E1792">
              <w:rPr>
                <w:spacing w:val="-2"/>
                <w:sz w:val="22"/>
                <w:szCs w:val="22"/>
              </w:rPr>
              <w:t>6.  основні користувачі – хедери</w:t>
            </w:r>
          </w:p>
          <w:p w:rsidR="000D6DC8" w:rsidRPr="001E1792" w:rsidRDefault="000D6DC8" w:rsidP="001D7A27">
            <w:pPr>
              <w:spacing w:after="0"/>
              <w:rPr>
                <w:spacing w:val="-2"/>
                <w:sz w:val="22"/>
                <w:szCs w:val="22"/>
              </w:rPr>
            </w:pPr>
            <w:r w:rsidRPr="001E1792">
              <w:rPr>
                <w:spacing w:val="-2"/>
                <w:sz w:val="22"/>
                <w:szCs w:val="22"/>
              </w:rPr>
              <w:t>7. передбачає індивідуальний підхід до  укладення угод</w:t>
            </w:r>
          </w:p>
        </w:tc>
      </w:tr>
      <w:tr w:rsidR="000D6DC8" w:rsidRPr="001E1792" w:rsidTr="001D7A27">
        <w:trPr>
          <w:cantSplit/>
          <w:trHeight w:val="1134"/>
        </w:trPr>
        <w:tc>
          <w:tcPr>
            <w:tcW w:w="541" w:type="pct"/>
            <w:vAlign w:val="center"/>
          </w:tcPr>
          <w:p w:rsidR="000D6DC8" w:rsidRPr="001E1792" w:rsidRDefault="000D6DC8" w:rsidP="001D7A27">
            <w:pPr>
              <w:spacing w:after="0"/>
              <w:jc w:val="center"/>
              <w:rPr>
                <w:spacing w:val="-2"/>
                <w:sz w:val="22"/>
                <w:szCs w:val="22"/>
              </w:rPr>
            </w:pPr>
            <w:r w:rsidRPr="001E1792">
              <w:rPr>
                <w:spacing w:val="-2"/>
                <w:sz w:val="22"/>
                <w:szCs w:val="22"/>
              </w:rPr>
              <w:lastRenderedPageBreak/>
              <w:t>опціон</w:t>
            </w:r>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 xml:space="preserve">біржовий / </w:t>
            </w:r>
            <w:proofErr w:type="spellStart"/>
            <w:r w:rsidRPr="001E1792">
              <w:rPr>
                <w:spacing w:val="-2"/>
                <w:sz w:val="22"/>
                <w:szCs w:val="22"/>
              </w:rPr>
              <w:t>небіржовий</w:t>
            </w:r>
            <w:proofErr w:type="spellEnd"/>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фінанси / маркетинг</w:t>
            </w:r>
          </w:p>
        </w:tc>
        <w:tc>
          <w:tcPr>
            <w:tcW w:w="947" w:type="pct"/>
          </w:tcPr>
          <w:p w:rsidR="000D6DC8" w:rsidRPr="001E1792" w:rsidRDefault="000D6DC8" w:rsidP="001D7A27">
            <w:pPr>
              <w:spacing w:after="0"/>
              <w:rPr>
                <w:spacing w:val="-2"/>
                <w:sz w:val="22"/>
                <w:szCs w:val="22"/>
              </w:rPr>
            </w:pPr>
            <w:r w:rsidRPr="001E1792">
              <w:rPr>
                <w:spacing w:val="-2"/>
                <w:sz w:val="22"/>
                <w:szCs w:val="22"/>
              </w:rPr>
              <w:t>1. хеджування</w:t>
            </w:r>
          </w:p>
          <w:p w:rsidR="000D6DC8" w:rsidRPr="001E1792" w:rsidRDefault="000D6DC8" w:rsidP="001D7A27">
            <w:pPr>
              <w:spacing w:after="0"/>
              <w:rPr>
                <w:spacing w:val="-2"/>
                <w:sz w:val="22"/>
                <w:szCs w:val="22"/>
              </w:rPr>
            </w:pPr>
            <w:r w:rsidRPr="001E1792">
              <w:rPr>
                <w:spacing w:val="-2"/>
                <w:sz w:val="22"/>
                <w:szCs w:val="22"/>
              </w:rPr>
              <w:t>2. отримання короткострокових фінансових ресурсів</w:t>
            </w:r>
          </w:p>
          <w:p w:rsidR="000D6DC8" w:rsidRPr="001E1792" w:rsidRDefault="000D6DC8" w:rsidP="001D7A27">
            <w:pPr>
              <w:spacing w:after="0"/>
              <w:rPr>
                <w:spacing w:val="-2"/>
                <w:sz w:val="22"/>
                <w:szCs w:val="22"/>
              </w:rPr>
            </w:pPr>
            <w:r w:rsidRPr="001E1792">
              <w:rPr>
                <w:spacing w:val="-2"/>
                <w:sz w:val="22"/>
                <w:szCs w:val="22"/>
              </w:rPr>
              <w:t>3. встановлення довгострокових торгових відносин</w:t>
            </w:r>
          </w:p>
          <w:p w:rsidR="000D6DC8" w:rsidRPr="001E1792" w:rsidRDefault="000D6DC8" w:rsidP="001D7A27">
            <w:pPr>
              <w:spacing w:after="0"/>
              <w:rPr>
                <w:spacing w:val="-2"/>
                <w:sz w:val="22"/>
                <w:szCs w:val="22"/>
              </w:rPr>
            </w:pPr>
            <w:r w:rsidRPr="001E1792">
              <w:rPr>
                <w:spacing w:val="-2"/>
                <w:sz w:val="22"/>
                <w:szCs w:val="22"/>
              </w:rPr>
              <w:t>4. зниження розмірів збитків – стратегія покупця опціону</w:t>
            </w:r>
          </w:p>
          <w:p w:rsidR="000D6DC8" w:rsidRPr="001E1792" w:rsidRDefault="000D6DC8" w:rsidP="001D7A27">
            <w:pPr>
              <w:spacing w:after="0"/>
              <w:rPr>
                <w:spacing w:val="-2"/>
                <w:sz w:val="22"/>
                <w:szCs w:val="22"/>
              </w:rPr>
            </w:pPr>
            <w:r w:rsidRPr="001E1792">
              <w:rPr>
                <w:spacing w:val="-2"/>
                <w:sz w:val="22"/>
                <w:szCs w:val="22"/>
              </w:rPr>
              <w:t>5. скорочення затрат зберігання товарів</w:t>
            </w:r>
          </w:p>
        </w:tc>
        <w:tc>
          <w:tcPr>
            <w:tcW w:w="2703" w:type="pct"/>
          </w:tcPr>
          <w:p w:rsidR="000D6DC8" w:rsidRPr="001E1792" w:rsidRDefault="000D6DC8" w:rsidP="001D7A27">
            <w:pPr>
              <w:spacing w:after="0"/>
              <w:rPr>
                <w:spacing w:val="-2"/>
                <w:sz w:val="22"/>
                <w:szCs w:val="22"/>
              </w:rPr>
            </w:pPr>
            <w:r w:rsidRPr="001E1792">
              <w:rPr>
                <w:spacing w:val="-2"/>
                <w:sz w:val="22"/>
                <w:szCs w:val="22"/>
              </w:rPr>
              <w:t>1. базується на праві купити/продати конкретний товар у визначену дату в майбутньому за встановленою ціною</w:t>
            </w:r>
          </w:p>
          <w:p w:rsidR="000D6DC8" w:rsidRPr="001E1792" w:rsidRDefault="000D6DC8" w:rsidP="001D7A27">
            <w:pPr>
              <w:spacing w:after="0"/>
              <w:rPr>
                <w:spacing w:val="-2"/>
                <w:sz w:val="22"/>
                <w:szCs w:val="22"/>
              </w:rPr>
            </w:pPr>
            <w:r w:rsidRPr="001E1792">
              <w:rPr>
                <w:spacing w:val="-2"/>
                <w:sz w:val="22"/>
                <w:szCs w:val="22"/>
              </w:rPr>
              <w:t>2. рух коштів – в момент укладення угоди покупцем сплачується премія (ціна опціону), продавці сплачують маржу</w:t>
            </w:r>
          </w:p>
          <w:p w:rsidR="000D6DC8" w:rsidRPr="001E1792" w:rsidRDefault="000D6DC8" w:rsidP="001D7A27">
            <w:pPr>
              <w:spacing w:after="0"/>
              <w:rPr>
                <w:spacing w:val="-2"/>
                <w:sz w:val="22"/>
                <w:szCs w:val="22"/>
              </w:rPr>
            </w:pPr>
            <w:r w:rsidRPr="001E1792">
              <w:rPr>
                <w:spacing w:val="-2"/>
                <w:sz w:val="22"/>
                <w:szCs w:val="22"/>
              </w:rPr>
              <w:t>3. терміни виконання залежать від термінів виконання ф’ючерсних контрактів, які основою товарних опціонів</w:t>
            </w:r>
          </w:p>
          <w:p w:rsidR="000D6DC8" w:rsidRPr="001E1792" w:rsidRDefault="000D6DC8" w:rsidP="001D7A27">
            <w:pPr>
              <w:spacing w:after="0"/>
              <w:rPr>
                <w:spacing w:val="-2"/>
                <w:sz w:val="22"/>
                <w:szCs w:val="22"/>
              </w:rPr>
            </w:pPr>
            <w:r w:rsidRPr="001E1792">
              <w:rPr>
                <w:spacing w:val="-2"/>
                <w:sz w:val="22"/>
                <w:szCs w:val="22"/>
              </w:rPr>
              <w:t>4. в основі опціонів лежать ф’ючерсні контракти, що зумовлює режим поставки чи не поставки товару</w:t>
            </w:r>
          </w:p>
          <w:p w:rsidR="000D6DC8" w:rsidRPr="001E1792" w:rsidRDefault="000D6DC8" w:rsidP="001D7A27">
            <w:pPr>
              <w:spacing w:after="0"/>
              <w:rPr>
                <w:spacing w:val="-2"/>
                <w:sz w:val="22"/>
                <w:szCs w:val="22"/>
              </w:rPr>
            </w:pPr>
            <w:r w:rsidRPr="001E1792">
              <w:rPr>
                <w:spacing w:val="-2"/>
                <w:sz w:val="22"/>
                <w:szCs w:val="22"/>
              </w:rPr>
              <w:t>5. основні користувачі – виробники, тримачі товарів для здешевлення затрат по зберіганню</w:t>
            </w:r>
          </w:p>
          <w:p w:rsidR="000D6DC8" w:rsidRPr="001E1792" w:rsidRDefault="000D6DC8" w:rsidP="001D7A27">
            <w:pPr>
              <w:spacing w:after="0"/>
              <w:rPr>
                <w:spacing w:val="-2"/>
                <w:sz w:val="22"/>
                <w:szCs w:val="22"/>
              </w:rPr>
            </w:pPr>
            <w:r w:rsidRPr="001E1792">
              <w:rPr>
                <w:spacing w:val="-2"/>
                <w:sz w:val="22"/>
                <w:szCs w:val="22"/>
              </w:rPr>
              <w:t>6. для не біржових опціонів передбачається індивідуальний підхід до складання угоди</w:t>
            </w:r>
          </w:p>
        </w:tc>
      </w:tr>
      <w:tr w:rsidR="000D6DC8" w:rsidRPr="001E1792" w:rsidTr="001D7A27">
        <w:trPr>
          <w:cantSplit/>
          <w:trHeight w:val="1134"/>
        </w:trPr>
        <w:tc>
          <w:tcPr>
            <w:tcW w:w="541" w:type="pct"/>
            <w:vAlign w:val="center"/>
          </w:tcPr>
          <w:p w:rsidR="000D6DC8" w:rsidRPr="001E1792" w:rsidRDefault="000D6DC8" w:rsidP="001D7A27">
            <w:pPr>
              <w:spacing w:after="0"/>
              <w:jc w:val="center"/>
              <w:rPr>
                <w:spacing w:val="-2"/>
                <w:sz w:val="22"/>
                <w:szCs w:val="22"/>
              </w:rPr>
            </w:pPr>
            <w:r w:rsidRPr="001E1792">
              <w:rPr>
                <w:spacing w:val="-2"/>
                <w:sz w:val="22"/>
                <w:szCs w:val="22"/>
              </w:rPr>
              <w:t>товарна облігація (форвардного / опціонного типу)</w:t>
            </w:r>
          </w:p>
        </w:tc>
        <w:tc>
          <w:tcPr>
            <w:tcW w:w="405" w:type="pct"/>
            <w:vAlign w:val="center"/>
          </w:tcPr>
          <w:p w:rsidR="000D6DC8" w:rsidRPr="001E1792" w:rsidRDefault="000D6DC8" w:rsidP="001D7A27">
            <w:pPr>
              <w:spacing w:after="0"/>
              <w:jc w:val="center"/>
              <w:rPr>
                <w:spacing w:val="-2"/>
                <w:sz w:val="22"/>
                <w:szCs w:val="22"/>
              </w:rPr>
            </w:pPr>
            <w:proofErr w:type="spellStart"/>
            <w:r w:rsidRPr="001E1792">
              <w:rPr>
                <w:spacing w:val="-2"/>
                <w:sz w:val="22"/>
                <w:szCs w:val="22"/>
              </w:rPr>
              <w:t>небіржові</w:t>
            </w:r>
            <w:proofErr w:type="spellEnd"/>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фінанси</w:t>
            </w:r>
          </w:p>
        </w:tc>
        <w:tc>
          <w:tcPr>
            <w:tcW w:w="947" w:type="pct"/>
          </w:tcPr>
          <w:p w:rsidR="000D6DC8" w:rsidRPr="001E1792" w:rsidRDefault="000D6DC8" w:rsidP="001D7A27">
            <w:pPr>
              <w:spacing w:after="0"/>
              <w:rPr>
                <w:spacing w:val="-2"/>
                <w:sz w:val="22"/>
                <w:szCs w:val="22"/>
              </w:rPr>
            </w:pPr>
            <w:r w:rsidRPr="001E1792">
              <w:rPr>
                <w:spacing w:val="-2"/>
                <w:sz w:val="22"/>
                <w:szCs w:val="22"/>
              </w:rPr>
              <w:t>1. хеджування</w:t>
            </w:r>
          </w:p>
          <w:p w:rsidR="000D6DC8" w:rsidRPr="001E1792" w:rsidRDefault="000D6DC8" w:rsidP="001D7A27">
            <w:pPr>
              <w:spacing w:after="0"/>
              <w:rPr>
                <w:spacing w:val="-2"/>
                <w:sz w:val="22"/>
                <w:szCs w:val="22"/>
              </w:rPr>
            </w:pPr>
            <w:r w:rsidRPr="001E1792">
              <w:rPr>
                <w:spacing w:val="-2"/>
                <w:sz w:val="22"/>
                <w:szCs w:val="22"/>
              </w:rPr>
              <w:t xml:space="preserve">2. невиконання зобов’язань </w:t>
            </w:r>
          </w:p>
          <w:p w:rsidR="000D6DC8" w:rsidRPr="001E1792" w:rsidRDefault="000D6DC8" w:rsidP="001D7A27">
            <w:pPr>
              <w:spacing w:after="0"/>
              <w:rPr>
                <w:spacing w:val="-2"/>
                <w:sz w:val="22"/>
                <w:szCs w:val="22"/>
              </w:rPr>
            </w:pPr>
            <w:r w:rsidRPr="001E1792">
              <w:rPr>
                <w:spacing w:val="-2"/>
                <w:sz w:val="22"/>
                <w:szCs w:val="22"/>
              </w:rPr>
              <w:t>3. фінансування боргів компаній за рахунок отримання пільгових умов кредитування</w:t>
            </w:r>
          </w:p>
          <w:p w:rsidR="000D6DC8" w:rsidRPr="001E1792" w:rsidRDefault="000D6DC8" w:rsidP="001D7A27">
            <w:pPr>
              <w:spacing w:after="0"/>
              <w:rPr>
                <w:spacing w:val="-2"/>
                <w:sz w:val="22"/>
                <w:szCs w:val="22"/>
              </w:rPr>
            </w:pPr>
            <w:r w:rsidRPr="001E1792">
              <w:rPr>
                <w:spacing w:val="-2"/>
                <w:sz w:val="22"/>
                <w:szCs w:val="22"/>
              </w:rPr>
              <w:t>3. отримання додаткових фінансових ресурсів</w:t>
            </w:r>
          </w:p>
          <w:p w:rsidR="000D6DC8" w:rsidRPr="001E1792" w:rsidRDefault="000D6DC8" w:rsidP="001D7A27">
            <w:pPr>
              <w:spacing w:after="0"/>
              <w:rPr>
                <w:spacing w:val="-2"/>
                <w:sz w:val="22"/>
                <w:szCs w:val="22"/>
              </w:rPr>
            </w:pPr>
            <w:r w:rsidRPr="001E1792">
              <w:rPr>
                <w:spacing w:val="-2"/>
                <w:sz w:val="22"/>
                <w:szCs w:val="22"/>
              </w:rPr>
              <w:t xml:space="preserve">4. невиконання зобов’язань позичальником </w:t>
            </w:r>
          </w:p>
        </w:tc>
        <w:tc>
          <w:tcPr>
            <w:tcW w:w="2703" w:type="pct"/>
          </w:tcPr>
          <w:p w:rsidR="000D6DC8" w:rsidRPr="001E1792" w:rsidRDefault="000D6DC8" w:rsidP="001D7A27">
            <w:pPr>
              <w:spacing w:after="0"/>
              <w:rPr>
                <w:spacing w:val="-2"/>
                <w:sz w:val="22"/>
                <w:szCs w:val="22"/>
              </w:rPr>
            </w:pPr>
            <w:r w:rsidRPr="001E1792">
              <w:rPr>
                <w:spacing w:val="-2"/>
                <w:sz w:val="22"/>
                <w:szCs w:val="22"/>
              </w:rPr>
              <w:t xml:space="preserve">1. поєднуються умови звичайної облігації із форвардним контрактом, </w:t>
            </w:r>
            <w:proofErr w:type="spellStart"/>
            <w:r w:rsidRPr="001E1792">
              <w:rPr>
                <w:spacing w:val="-2"/>
                <w:sz w:val="22"/>
                <w:szCs w:val="22"/>
              </w:rPr>
              <w:t>свопом</w:t>
            </w:r>
            <w:proofErr w:type="spellEnd"/>
            <w:r w:rsidRPr="001E1792">
              <w:rPr>
                <w:spacing w:val="-2"/>
                <w:sz w:val="22"/>
                <w:szCs w:val="22"/>
              </w:rPr>
              <w:t xml:space="preserve"> або товарним опціоном </w:t>
            </w:r>
          </w:p>
          <w:p w:rsidR="000D6DC8" w:rsidRPr="001E1792" w:rsidRDefault="000D6DC8" w:rsidP="001D7A27">
            <w:pPr>
              <w:spacing w:after="0"/>
              <w:rPr>
                <w:spacing w:val="-2"/>
                <w:sz w:val="22"/>
                <w:szCs w:val="22"/>
              </w:rPr>
            </w:pPr>
            <w:r w:rsidRPr="001E1792">
              <w:rPr>
                <w:spacing w:val="-2"/>
                <w:sz w:val="22"/>
                <w:szCs w:val="22"/>
              </w:rPr>
              <w:t>2. угоди укладаються через професійних посередників – біржових брокерів</w:t>
            </w:r>
          </w:p>
          <w:p w:rsidR="000D6DC8" w:rsidRPr="001E1792" w:rsidRDefault="000D6DC8" w:rsidP="001D7A27">
            <w:pPr>
              <w:spacing w:after="0"/>
              <w:rPr>
                <w:spacing w:val="-2"/>
                <w:sz w:val="22"/>
                <w:szCs w:val="22"/>
              </w:rPr>
            </w:pPr>
            <w:r w:rsidRPr="001E1792">
              <w:rPr>
                <w:spacing w:val="-2"/>
                <w:sz w:val="22"/>
                <w:szCs w:val="22"/>
              </w:rPr>
              <w:t>3. рух коштів – в момент укладення угод відсутній</w:t>
            </w:r>
          </w:p>
          <w:p w:rsidR="000D6DC8" w:rsidRPr="001E1792" w:rsidRDefault="000D6DC8" w:rsidP="001D7A27">
            <w:pPr>
              <w:spacing w:after="0"/>
              <w:rPr>
                <w:spacing w:val="-2"/>
                <w:sz w:val="22"/>
                <w:szCs w:val="22"/>
              </w:rPr>
            </w:pPr>
            <w:r w:rsidRPr="001E1792">
              <w:rPr>
                <w:spacing w:val="-2"/>
                <w:sz w:val="22"/>
                <w:szCs w:val="22"/>
              </w:rPr>
              <w:t>4. поставка фізичного товару не передбачається</w:t>
            </w:r>
          </w:p>
          <w:p w:rsidR="000D6DC8" w:rsidRPr="001E1792" w:rsidRDefault="000D6DC8" w:rsidP="001D7A27">
            <w:pPr>
              <w:spacing w:after="0"/>
              <w:rPr>
                <w:spacing w:val="-2"/>
                <w:sz w:val="22"/>
                <w:szCs w:val="22"/>
              </w:rPr>
            </w:pPr>
            <w:r w:rsidRPr="001E1792">
              <w:rPr>
                <w:spacing w:val="-2"/>
                <w:sz w:val="22"/>
                <w:szCs w:val="22"/>
              </w:rPr>
              <w:t>5. терміни виконання - довгострокові</w:t>
            </w:r>
          </w:p>
          <w:p w:rsidR="000D6DC8" w:rsidRPr="001E1792" w:rsidRDefault="000D6DC8" w:rsidP="001D7A27">
            <w:pPr>
              <w:spacing w:after="0"/>
              <w:rPr>
                <w:spacing w:val="-2"/>
                <w:sz w:val="22"/>
                <w:szCs w:val="22"/>
              </w:rPr>
            </w:pPr>
            <w:r w:rsidRPr="001E1792">
              <w:rPr>
                <w:spacing w:val="-2"/>
                <w:sz w:val="22"/>
                <w:szCs w:val="22"/>
              </w:rPr>
              <w:t>6. основні користувачі -</w:t>
            </w:r>
            <w:r w:rsidRPr="001E1792">
              <w:rPr>
                <w:sz w:val="22"/>
                <w:szCs w:val="22"/>
              </w:rPr>
              <w:t xml:space="preserve"> </w:t>
            </w:r>
            <w:r w:rsidRPr="001E1792">
              <w:rPr>
                <w:spacing w:val="-2"/>
                <w:sz w:val="22"/>
                <w:szCs w:val="22"/>
              </w:rPr>
              <w:t xml:space="preserve">учасники ринку, що забезпечити позитивне співвідношення затрат з обслуговування боргів і товарних цін </w:t>
            </w:r>
          </w:p>
          <w:p w:rsidR="000D6DC8" w:rsidRPr="001E1792" w:rsidRDefault="000D6DC8" w:rsidP="001D7A27">
            <w:pPr>
              <w:spacing w:after="0"/>
              <w:rPr>
                <w:spacing w:val="-2"/>
                <w:sz w:val="22"/>
                <w:szCs w:val="22"/>
              </w:rPr>
            </w:pPr>
            <w:r w:rsidRPr="001E1792">
              <w:rPr>
                <w:spacing w:val="-2"/>
                <w:sz w:val="22"/>
                <w:szCs w:val="22"/>
              </w:rPr>
              <w:t>7. індивідуальний підхід до складання угод</w:t>
            </w:r>
          </w:p>
        </w:tc>
      </w:tr>
      <w:tr w:rsidR="000D6DC8" w:rsidRPr="001E1792" w:rsidTr="001D7A27">
        <w:trPr>
          <w:cantSplit/>
          <w:trHeight w:val="1134"/>
        </w:trPr>
        <w:tc>
          <w:tcPr>
            <w:tcW w:w="541" w:type="pct"/>
            <w:vAlign w:val="center"/>
          </w:tcPr>
          <w:p w:rsidR="000D6DC8" w:rsidRPr="001E1792" w:rsidRDefault="000D6DC8" w:rsidP="001D7A27">
            <w:pPr>
              <w:spacing w:after="0"/>
              <w:jc w:val="center"/>
              <w:rPr>
                <w:spacing w:val="-2"/>
                <w:sz w:val="22"/>
                <w:szCs w:val="22"/>
              </w:rPr>
            </w:pPr>
            <w:r w:rsidRPr="001E1792">
              <w:rPr>
                <w:spacing w:val="-2"/>
                <w:sz w:val="22"/>
                <w:szCs w:val="22"/>
              </w:rPr>
              <w:t>Товарні кредити</w:t>
            </w:r>
          </w:p>
        </w:tc>
        <w:tc>
          <w:tcPr>
            <w:tcW w:w="405" w:type="pct"/>
            <w:vAlign w:val="center"/>
          </w:tcPr>
          <w:p w:rsidR="000D6DC8" w:rsidRPr="001E1792" w:rsidRDefault="000D6DC8" w:rsidP="001D7A27">
            <w:pPr>
              <w:spacing w:after="0"/>
              <w:jc w:val="center"/>
              <w:rPr>
                <w:spacing w:val="-2"/>
                <w:sz w:val="22"/>
                <w:szCs w:val="22"/>
              </w:rPr>
            </w:pPr>
            <w:proofErr w:type="spellStart"/>
            <w:r w:rsidRPr="001E1792">
              <w:rPr>
                <w:spacing w:val="-2"/>
                <w:sz w:val="22"/>
                <w:szCs w:val="22"/>
              </w:rPr>
              <w:t>небіржові</w:t>
            </w:r>
            <w:proofErr w:type="spellEnd"/>
          </w:p>
        </w:tc>
        <w:tc>
          <w:tcPr>
            <w:tcW w:w="405" w:type="pct"/>
            <w:vAlign w:val="center"/>
          </w:tcPr>
          <w:p w:rsidR="000D6DC8" w:rsidRPr="001E1792" w:rsidRDefault="000D6DC8" w:rsidP="001D7A27">
            <w:pPr>
              <w:spacing w:after="0"/>
              <w:jc w:val="center"/>
              <w:rPr>
                <w:spacing w:val="-2"/>
                <w:sz w:val="22"/>
                <w:szCs w:val="22"/>
              </w:rPr>
            </w:pPr>
            <w:r w:rsidRPr="001E1792">
              <w:rPr>
                <w:spacing w:val="-2"/>
                <w:sz w:val="22"/>
                <w:szCs w:val="22"/>
              </w:rPr>
              <w:t>фінанси</w:t>
            </w:r>
          </w:p>
        </w:tc>
        <w:tc>
          <w:tcPr>
            <w:tcW w:w="947" w:type="pct"/>
          </w:tcPr>
          <w:p w:rsidR="000D6DC8" w:rsidRPr="001E1792" w:rsidRDefault="000D6DC8" w:rsidP="001D7A27">
            <w:pPr>
              <w:spacing w:after="0"/>
              <w:rPr>
                <w:spacing w:val="-2"/>
                <w:sz w:val="22"/>
                <w:szCs w:val="22"/>
              </w:rPr>
            </w:pPr>
            <w:r w:rsidRPr="001E1792">
              <w:rPr>
                <w:spacing w:val="-2"/>
                <w:sz w:val="22"/>
                <w:szCs w:val="22"/>
              </w:rPr>
              <w:t>1. такі ж як у товарної облігації</w:t>
            </w:r>
          </w:p>
          <w:p w:rsidR="000D6DC8" w:rsidRPr="001E1792" w:rsidRDefault="000D6DC8" w:rsidP="001D7A27">
            <w:pPr>
              <w:spacing w:after="0"/>
              <w:rPr>
                <w:spacing w:val="-2"/>
                <w:sz w:val="22"/>
                <w:szCs w:val="22"/>
              </w:rPr>
            </w:pPr>
            <w:r w:rsidRPr="001E1792">
              <w:rPr>
                <w:spacing w:val="-2"/>
                <w:sz w:val="22"/>
                <w:szCs w:val="22"/>
              </w:rPr>
              <w:t>2. спосіб підвищення розміру майбутнього прибутку та його передбачуваність</w:t>
            </w:r>
          </w:p>
          <w:p w:rsidR="000D6DC8" w:rsidRPr="001E1792" w:rsidRDefault="000D6DC8" w:rsidP="001D7A27">
            <w:pPr>
              <w:spacing w:after="0"/>
              <w:rPr>
                <w:spacing w:val="-2"/>
                <w:sz w:val="22"/>
                <w:szCs w:val="22"/>
              </w:rPr>
            </w:pPr>
            <w:r w:rsidRPr="001E1792">
              <w:rPr>
                <w:spacing w:val="-2"/>
                <w:sz w:val="22"/>
                <w:szCs w:val="22"/>
              </w:rPr>
              <w:t xml:space="preserve"> </w:t>
            </w:r>
          </w:p>
        </w:tc>
        <w:tc>
          <w:tcPr>
            <w:tcW w:w="2703" w:type="pct"/>
          </w:tcPr>
          <w:p w:rsidR="000D6DC8" w:rsidRPr="001E1792" w:rsidRDefault="000D6DC8" w:rsidP="001D7A27">
            <w:pPr>
              <w:spacing w:after="0"/>
              <w:jc w:val="both"/>
              <w:rPr>
                <w:spacing w:val="-2"/>
                <w:sz w:val="22"/>
                <w:szCs w:val="22"/>
              </w:rPr>
            </w:pPr>
            <w:r w:rsidRPr="001E1792">
              <w:rPr>
                <w:spacing w:val="-2"/>
                <w:sz w:val="22"/>
                <w:szCs w:val="22"/>
              </w:rPr>
              <w:t>1. угода, що пов’язує виплату боргу (відсотків) до ціни (індексу цін) визначених товарів</w:t>
            </w:r>
          </w:p>
          <w:p w:rsidR="000D6DC8" w:rsidRPr="001E1792" w:rsidRDefault="000D6DC8" w:rsidP="001D7A27">
            <w:pPr>
              <w:spacing w:after="0"/>
              <w:jc w:val="both"/>
              <w:rPr>
                <w:spacing w:val="-2"/>
                <w:sz w:val="22"/>
                <w:szCs w:val="22"/>
              </w:rPr>
            </w:pPr>
            <w:r w:rsidRPr="001E1792">
              <w:rPr>
                <w:spacing w:val="-2"/>
                <w:sz w:val="22"/>
                <w:szCs w:val="22"/>
              </w:rPr>
              <w:t xml:space="preserve">2.в угоді поєднано  </w:t>
            </w:r>
            <w:proofErr w:type="spellStart"/>
            <w:r w:rsidRPr="001E1792">
              <w:rPr>
                <w:spacing w:val="-2"/>
                <w:sz w:val="22"/>
                <w:szCs w:val="22"/>
              </w:rPr>
              <w:t>своп-умови</w:t>
            </w:r>
            <w:proofErr w:type="spellEnd"/>
            <w:r w:rsidRPr="001E1792">
              <w:rPr>
                <w:spacing w:val="-2"/>
                <w:sz w:val="22"/>
                <w:szCs w:val="22"/>
              </w:rPr>
              <w:t xml:space="preserve"> та банківські позики</w:t>
            </w:r>
          </w:p>
          <w:p w:rsidR="000D6DC8" w:rsidRPr="001E1792" w:rsidRDefault="000D6DC8" w:rsidP="001D7A27">
            <w:pPr>
              <w:spacing w:after="0"/>
              <w:jc w:val="both"/>
              <w:rPr>
                <w:spacing w:val="-2"/>
                <w:sz w:val="22"/>
                <w:szCs w:val="22"/>
              </w:rPr>
            </w:pPr>
            <w:r w:rsidRPr="001E1792">
              <w:rPr>
                <w:spacing w:val="-2"/>
                <w:sz w:val="22"/>
                <w:szCs w:val="22"/>
              </w:rPr>
              <w:t>3. рух коштів на момент укладення угоди відсутній</w:t>
            </w:r>
          </w:p>
          <w:p w:rsidR="000D6DC8" w:rsidRPr="001E1792" w:rsidRDefault="000D6DC8" w:rsidP="001D7A27">
            <w:pPr>
              <w:spacing w:after="0"/>
              <w:jc w:val="both"/>
              <w:rPr>
                <w:spacing w:val="-2"/>
                <w:sz w:val="22"/>
                <w:szCs w:val="22"/>
              </w:rPr>
            </w:pPr>
            <w:r w:rsidRPr="001E1792">
              <w:rPr>
                <w:spacing w:val="-2"/>
                <w:sz w:val="22"/>
                <w:szCs w:val="22"/>
              </w:rPr>
              <w:t>4. поставка фізичного товару не передбачається</w:t>
            </w:r>
          </w:p>
          <w:p w:rsidR="000D6DC8" w:rsidRPr="001E1792" w:rsidRDefault="000D6DC8" w:rsidP="001D7A27">
            <w:pPr>
              <w:spacing w:after="0"/>
              <w:jc w:val="both"/>
              <w:rPr>
                <w:spacing w:val="-2"/>
                <w:sz w:val="22"/>
                <w:szCs w:val="22"/>
              </w:rPr>
            </w:pPr>
            <w:r w:rsidRPr="001E1792">
              <w:rPr>
                <w:spacing w:val="-2"/>
                <w:sz w:val="22"/>
                <w:szCs w:val="22"/>
              </w:rPr>
              <w:t>5. терміни виконання – у довгостроковому періоді</w:t>
            </w:r>
          </w:p>
          <w:p w:rsidR="000D6DC8" w:rsidRPr="001E1792" w:rsidRDefault="000D6DC8" w:rsidP="001D7A27">
            <w:pPr>
              <w:spacing w:after="0"/>
              <w:jc w:val="both"/>
              <w:rPr>
                <w:spacing w:val="-2"/>
                <w:sz w:val="22"/>
                <w:szCs w:val="22"/>
              </w:rPr>
            </w:pPr>
            <w:r w:rsidRPr="001E1792">
              <w:rPr>
                <w:spacing w:val="-2"/>
                <w:sz w:val="22"/>
                <w:szCs w:val="22"/>
              </w:rPr>
              <w:t>6. основні користувачі – учасники ринку, що прагнуть забезпечити виконання кредитних зобов’язань позичальником</w:t>
            </w:r>
          </w:p>
          <w:p w:rsidR="000D6DC8" w:rsidRPr="001E1792" w:rsidRDefault="000D6DC8" w:rsidP="001D7A27">
            <w:pPr>
              <w:spacing w:after="0"/>
              <w:jc w:val="both"/>
              <w:rPr>
                <w:spacing w:val="-2"/>
                <w:sz w:val="22"/>
                <w:szCs w:val="22"/>
              </w:rPr>
            </w:pPr>
            <w:r w:rsidRPr="001E1792">
              <w:rPr>
                <w:spacing w:val="-2"/>
                <w:sz w:val="22"/>
                <w:szCs w:val="22"/>
              </w:rPr>
              <w:t>7. індивідуальний підхід до складання угоди</w:t>
            </w:r>
          </w:p>
        </w:tc>
      </w:tr>
    </w:tbl>
    <w:p w:rsidR="000D6DC8" w:rsidRPr="001E1792" w:rsidRDefault="00C437FA" w:rsidP="000D6DC8">
      <w:pPr>
        <w:spacing w:after="0"/>
        <w:ind w:firstLine="454"/>
        <w:rPr>
          <w:rFonts w:eastAsia="Times New Roman"/>
          <w:color w:val="414141"/>
          <w:sz w:val="28"/>
          <w:szCs w:val="28"/>
          <w:lang w:eastAsia="ru-RU"/>
        </w:rPr>
        <w:sectPr w:rsidR="000D6DC8" w:rsidRPr="001E1792" w:rsidSect="001D7A27">
          <w:pgSz w:w="16838" w:h="11906" w:orient="landscape"/>
          <w:pgMar w:top="1701" w:right="1134" w:bottom="851" w:left="1134" w:header="709" w:footer="709" w:gutter="0"/>
          <w:cols w:space="708"/>
          <w:docGrid w:linePitch="360"/>
        </w:sectPr>
      </w:pPr>
      <w:r w:rsidRPr="001E1792">
        <w:rPr>
          <w:rFonts w:eastAsia="Times New Roman"/>
          <w:color w:val="414141"/>
          <w:sz w:val="28"/>
          <w:szCs w:val="28"/>
          <w:lang w:eastAsia="ru-RU"/>
        </w:rPr>
        <w:t>* складено автором</w:t>
      </w:r>
    </w:p>
    <w:p w:rsidR="007759C5" w:rsidRPr="001E1792" w:rsidRDefault="007759C5" w:rsidP="007759C5">
      <w:pPr>
        <w:autoSpaceDE w:val="0"/>
        <w:autoSpaceDN w:val="0"/>
        <w:adjustRightInd w:val="0"/>
        <w:spacing w:after="0" w:line="360" w:lineRule="auto"/>
        <w:ind w:firstLine="454"/>
        <w:jc w:val="both"/>
        <w:rPr>
          <w:spacing w:val="-2"/>
          <w:sz w:val="28"/>
          <w:szCs w:val="28"/>
        </w:rPr>
      </w:pPr>
      <w:r w:rsidRPr="001E1792">
        <w:rPr>
          <w:spacing w:val="-2"/>
          <w:sz w:val="28"/>
          <w:szCs w:val="28"/>
        </w:rPr>
        <w:lastRenderedPageBreak/>
        <w:t>Найбільш поширеними позабіржовими інструментами управління ціновими ризиками й вживаними на вітчизняних біржах, які торгують СГП</w:t>
      </w:r>
      <w:r>
        <w:rPr>
          <w:spacing w:val="-2"/>
          <w:sz w:val="28"/>
          <w:szCs w:val="28"/>
        </w:rPr>
        <w:t>,</w:t>
      </w:r>
      <w:r w:rsidRPr="001E1792">
        <w:rPr>
          <w:spacing w:val="-2"/>
          <w:sz w:val="28"/>
          <w:szCs w:val="28"/>
        </w:rPr>
        <w:t xml:space="preserve"> є форвардні контракти, які знижують ризики обом їх сторонам. </w:t>
      </w:r>
    </w:p>
    <w:p w:rsidR="000D6DC8" w:rsidRPr="001E1792" w:rsidRDefault="000D6DC8" w:rsidP="00772FB0">
      <w:pPr>
        <w:autoSpaceDE w:val="0"/>
        <w:autoSpaceDN w:val="0"/>
        <w:adjustRightInd w:val="0"/>
        <w:spacing w:after="0" w:line="360" w:lineRule="auto"/>
        <w:ind w:firstLine="454"/>
        <w:jc w:val="both"/>
        <w:rPr>
          <w:spacing w:val="-2"/>
          <w:sz w:val="28"/>
          <w:szCs w:val="28"/>
        </w:rPr>
      </w:pPr>
      <w:r w:rsidRPr="001E1792">
        <w:rPr>
          <w:spacing w:val="-2"/>
          <w:sz w:val="28"/>
          <w:szCs w:val="28"/>
        </w:rPr>
        <w:t>Форвардний контракт – це угода про купівлю або продаж встановленої кільк</w:t>
      </w:r>
      <w:r w:rsidR="00C71B5C">
        <w:rPr>
          <w:spacing w:val="-2"/>
          <w:sz w:val="28"/>
          <w:szCs w:val="28"/>
        </w:rPr>
        <w:t>ості товару за фіксованою ціною, м</w:t>
      </w:r>
      <w:r w:rsidRPr="001E1792">
        <w:rPr>
          <w:spacing w:val="-2"/>
          <w:sz w:val="28"/>
          <w:szCs w:val="28"/>
        </w:rPr>
        <w:t>ожуть передбачати фізичну поставку товару (</w:t>
      </w:r>
      <w:proofErr w:type="spellStart"/>
      <w:r w:rsidRPr="001E1792">
        <w:rPr>
          <w:spacing w:val="-2"/>
          <w:sz w:val="28"/>
          <w:szCs w:val="28"/>
        </w:rPr>
        <w:t>Commodity</w:t>
      </w:r>
      <w:proofErr w:type="spellEnd"/>
      <w:r w:rsidRPr="001E1792">
        <w:rPr>
          <w:spacing w:val="-2"/>
          <w:sz w:val="28"/>
          <w:szCs w:val="28"/>
        </w:rPr>
        <w:t xml:space="preserve"> </w:t>
      </w:r>
      <w:proofErr w:type="spellStart"/>
      <w:r w:rsidRPr="001E1792">
        <w:rPr>
          <w:spacing w:val="-2"/>
          <w:sz w:val="28"/>
          <w:szCs w:val="28"/>
        </w:rPr>
        <w:t>Deliverable</w:t>
      </w:r>
      <w:proofErr w:type="spellEnd"/>
      <w:r w:rsidRPr="001E1792">
        <w:rPr>
          <w:spacing w:val="-2"/>
          <w:sz w:val="28"/>
          <w:szCs w:val="28"/>
        </w:rPr>
        <w:t xml:space="preserve"> </w:t>
      </w:r>
      <w:proofErr w:type="spellStart"/>
      <w:r w:rsidRPr="001E1792">
        <w:rPr>
          <w:spacing w:val="-2"/>
          <w:sz w:val="28"/>
          <w:szCs w:val="28"/>
        </w:rPr>
        <w:t>Forward</w:t>
      </w:r>
      <w:proofErr w:type="spellEnd"/>
      <w:r w:rsidRPr="001E1792">
        <w:rPr>
          <w:spacing w:val="-2"/>
          <w:sz w:val="28"/>
          <w:szCs w:val="28"/>
        </w:rPr>
        <w:t>) та проведення грошових розрахунків по контракту без кінцевої поставки (</w:t>
      </w:r>
      <w:proofErr w:type="spellStart"/>
      <w:r w:rsidRPr="001E1792">
        <w:rPr>
          <w:color w:val="231F20"/>
          <w:sz w:val="28"/>
          <w:szCs w:val="28"/>
          <w:lang w:eastAsia="uk-UA"/>
        </w:rPr>
        <w:t>Commodity</w:t>
      </w:r>
      <w:proofErr w:type="spellEnd"/>
      <w:r w:rsidRPr="001E1792">
        <w:rPr>
          <w:color w:val="231F20"/>
          <w:sz w:val="28"/>
          <w:szCs w:val="28"/>
          <w:lang w:eastAsia="uk-UA"/>
        </w:rPr>
        <w:t xml:space="preserve"> Non-Deliverable </w:t>
      </w:r>
      <w:proofErr w:type="spellStart"/>
      <w:r w:rsidRPr="001E1792">
        <w:rPr>
          <w:color w:val="231F20"/>
          <w:sz w:val="28"/>
          <w:szCs w:val="28"/>
          <w:lang w:eastAsia="uk-UA"/>
        </w:rPr>
        <w:t>Forward</w:t>
      </w:r>
      <w:proofErr w:type="spellEnd"/>
      <w:r w:rsidRPr="001E1792">
        <w:rPr>
          <w:color w:val="231F20"/>
          <w:sz w:val="28"/>
          <w:szCs w:val="28"/>
          <w:lang w:eastAsia="uk-UA"/>
        </w:rPr>
        <w:t xml:space="preserve">). В останньому випадку, якщо ціна на спотовому ринку нижче форвардної на день розрахунків, то прибуток отримує продавець, і навпаки, якщо реальна ціна вища за форвардну - в прибутку покупець </w:t>
      </w:r>
      <w:r w:rsidRPr="001E1792">
        <w:rPr>
          <w:sz w:val="28"/>
          <w:szCs w:val="28"/>
          <w:lang w:eastAsia="uk-UA"/>
        </w:rPr>
        <w:t>[</w:t>
      </w:r>
      <w:r w:rsidR="00772FB0">
        <w:rPr>
          <w:sz w:val="28"/>
          <w:szCs w:val="28"/>
          <w:lang w:eastAsia="uk-UA"/>
        </w:rPr>
        <w:t>4</w:t>
      </w:r>
      <w:r w:rsidRPr="001E1792">
        <w:rPr>
          <w:sz w:val="28"/>
          <w:szCs w:val="28"/>
          <w:lang w:eastAsia="uk-UA"/>
        </w:rPr>
        <w:t>, с.6].</w:t>
      </w:r>
      <w:r w:rsidRPr="001E1792">
        <w:rPr>
          <w:color w:val="231F20"/>
          <w:sz w:val="28"/>
          <w:szCs w:val="28"/>
          <w:lang w:eastAsia="uk-UA"/>
        </w:rPr>
        <w:t xml:space="preserve"> </w:t>
      </w:r>
      <w:r w:rsidRPr="001E1792">
        <w:rPr>
          <w:spacing w:val="-2"/>
          <w:sz w:val="28"/>
          <w:szCs w:val="28"/>
        </w:rPr>
        <w:t>В стратегії цінового ризик-менеджменту форвардна торгівля переважно використовується для хеджування ризиків волатильності цін запасів сировинних товарів та контрактів на поставку товарів у майбутньому. Це так звана стратегія форвардного покриття (</w:t>
      </w:r>
      <w:proofErr w:type="spellStart"/>
      <w:r w:rsidRPr="001E1792">
        <w:rPr>
          <w:spacing w:val="-2"/>
          <w:sz w:val="28"/>
          <w:szCs w:val="28"/>
        </w:rPr>
        <w:t>Forward</w:t>
      </w:r>
      <w:proofErr w:type="spellEnd"/>
      <w:r w:rsidRPr="001E1792">
        <w:rPr>
          <w:spacing w:val="-2"/>
          <w:sz w:val="28"/>
          <w:szCs w:val="28"/>
        </w:rPr>
        <w:t xml:space="preserve"> </w:t>
      </w:r>
      <w:proofErr w:type="spellStart"/>
      <w:r w:rsidRPr="001E1792">
        <w:rPr>
          <w:spacing w:val="-2"/>
          <w:sz w:val="28"/>
          <w:szCs w:val="28"/>
        </w:rPr>
        <w:t>Cover</w:t>
      </w:r>
      <w:proofErr w:type="spellEnd"/>
      <w:r w:rsidRPr="001E1792">
        <w:rPr>
          <w:spacing w:val="-2"/>
          <w:sz w:val="28"/>
          <w:szCs w:val="28"/>
        </w:rPr>
        <w:t xml:space="preserve">), яка передбачає одночасне укладення декількох  протилежних угод на спотовому </w:t>
      </w:r>
      <w:r w:rsidR="00C67278" w:rsidRPr="001E1792">
        <w:rPr>
          <w:spacing w:val="-2"/>
          <w:sz w:val="28"/>
          <w:szCs w:val="28"/>
        </w:rPr>
        <w:t>і</w:t>
      </w:r>
      <w:r w:rsidRPr="001E1792">
        <w:rPr>
          <w:spacing w:val="-2"/>
          <w:sz w:val="28"/>
          <w:szCs w:val="28"/>
        </w:rPr>
        <w:t xml:space="preserve"> форвардному ринках (купівля-продаж </w:t>
      </w:r>
      <w:r w:rsidR="00C67278" w:rsidRPr="001E1792">
        <w:rPr>
          <w:spacing w:val="-2"/>
          <w:sz w:val="28"/>
          <w:szCs w:val="28"/>
        </w:rPr>
        <w:t xml:space="preserve">чи </w:t>
      </w:r>
      <w:r w:rsidRPr="001E1792">
        <w:rPr>
          <w:spacing w:val="-2"/>
          <w:sz w:val="28"/>
          <w:szCs w:val="28"/>
        </w:rPr>
        <w:t>продаж-купівля) [</w:t>
      </w:r>
      <w:r w:rsidR="00772FB0">
        <w:rPr>
          <w:spacing w:val="-2"/>
          <w:sz w:val="28"/>
          <w:szCs w:val="28"/>
        </w:rPr>
        <w:t>3</w:t>
      </w:r>
      <w:r w:rsidRPr="001E1792">
        <w:rPr>
          <w:spacing w:val="-2"/>
          <w:sz w:val="28"/>
          <w:szCs w:val="28"/>
        </w:rPr>
        <w:t>].</w:t>
      </w:r>
      <w:r w:rsidR="00EB68B2" w:rsidRPr="001E1792">
        <w:rPr>
          <w:spacing w:val="-2"/>
          <w:sz w:val="28"/>
          <w:szCs w:val="28"/>
        </w:rPr>
        <w:t xml:space="preserve"> </w:t>
      </w:r>
    </w:p>
    <w:p w:rsidR="000D6DC8" w:rsidRPr="001E1792" w:rsidRDefault="00B277AF" w:rsidP="000001A6">
      <w:pPr>
        <w:spacing w:after="0" w:line="360" w:lineRule="auto"/>
        <w:ind w:firstLine="454"/>
        <w:jc w:val="both"/>
        <w:rPr>
          <w:spacing w:val="-2"/>
          <w:sz w:val="28"/>
          <w:szCs w:val="28"/>
        </w:rPr>
      </w:pPr>
      <w:r w:rsidRPr="001E1792">
        <w:rPr>
          <w:spacing w:val="-2"/>
          <w:sz w:val="28"/>
          <w:szCs w:val="28"/>
        </w:rPr>
        <w:t>Проте, н</w:t>
      </w:r>
      <w:r w:rsidR="000D6DC8" w:rsidRPr="001E1792">
        <w:rPr>
          <w:spacing w:val="-2"/>
          <w:sz w:val="28"/>
          <w:szCs w:val="28"/>
        </w:rPr>
        <w:t xml:space="preserve">айбільш поширеним </w:t>
      </w:r>
      <w:r w:rsidR="00CB5E86">
        <w:rPr>
          <w:spacing w:val="-2"/>
          <w:sz w:val="28"/>
          <w:szCs w:val="28"/>
        </w:rPr>
        <w:t xml:space="preserve">у світі </w:t>
      </w:r>
      <w:r w:rsidR="000D6DC8" w:rsidRPr="001E1792">
        <w:rPr>
          <w:spacing w:val="-2"/>
          <w:sz w:val="28"/>
          <w:szCs w:val="28"/>
        </w:rPr>
        <w:t>біржовим інструментом цінового ризик-мен</w:t>
      </w:r>
      <w:r w:rsidR="00777163">
        <w:rPr>
          <w:spacing w:val="-2"/>
          <w:sz w:val="28"/>
          <w:szCs w:val="28"/>
        </w:rPr>
        <w:t>еджменту є ф’ючерсні контракті (рис.1).</w:t>
      </w:r>
    </w:p>
    <w:p w:rsidR="000D6DC8" w:rsidRPr="001E1792" w:rsidRDefault="009F7D71" w:rsidP="000D6DC8">
      <w:pPr>
        <w:spacing w:after="0" w:line="360" w:lineRule="auto"/>
        <w:ind w:firstLine="454"/>
        <w:jc w:val="both"/>
        <w:rPr>
          <w:spacing w:val="-2"/>
          <w:sz w:val="28"/>
          <w:szCs w:val="28"/>
        </w:rPr>
      </w:pPr>
      <w:r w:rsidRPr="001E1792">
        <w:rPr>
          <w:noProof/>
          <w:spacing w:val="-2"/>
          <w:sz w:val="28"/>
          <w:szCs w:val="28"/>
          <w:lang w:eastAsia="uk-UA"/>
        </w:rPr>
        <w:drawing>
          <wp:inline distT="0" distB="0" distL="0" distR="0">
            <wp:extent cx="5651292" cy="2653259"/>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6DC8" w:rsidRPr="001E1792" w:rsidRDefault="000D6DC8" w:rsidP="00EB68B2">
      <w:pPr>
        <w:spacing w:after="0" w:line="360" w:lineRule="auto"/>
        <w:ind w:firstLine="454"/>
        <w:jc w:val="center"/>
        <w:rPr>
          <w:spacing w:val="-2"/>
          <w:sz w:val="28"/>
          <w:szCs w:val="28"/>
          <w:lang w:val="en-US"/>
        </w:rPr>
      </w:pPr>
      <w:r w:rsidRPr="001E1792">
        <w:rPr>
          <w:spacing w:val="-2"/>
          <w:sz w:val="28"/>
          <w:szCs w:val="28"/>
        </w:rPr>
        <w:t xml:space="preserve">Рис. </w:t>
      </w:r>
      <w:r w:rsidR="00EB68B2" w:rsidRPr="001E1792">
        <w:rPr>
          <w:spacing w:val="-2"/>
          <w:sz w:val="28"/>
          <w:szCs w:val="28"/>
        </w:rPr>
        <w:t xml:space="preserve">1. </w:t>
      </w:r>
      <w:r w:rsidRPr="001E1792">
        <w:rPr>
          <w:spacing w:val="-2"/>
          <w:sz w:val="28"/>
          <w:szCs w:val="28"/>
        </w:rPr>
        <w:t xml:space="preserve"> Кількість біржових контрактів, укладених на біржах світу</w:t>
      </w:r>
    </w:p>
    <w:p w:rsidR="000D6DC8" w:rsidRPr="001E1792" w:rsidRDefault="000D6DC8" w:rsidP="0074134C">
      <w:pPr>
        <w:spacing w:after="0" w:line="360" w:lineRule="auto"/>
        <w:ind w:firstLine="454"/>
        <w:jc w:val="center"/>
        <w:rPr>
          <w:spacing w:val="-2"/>
          <w:sz w:val="28"/>
          <w:szCs w:val="28"/>
        </w:rPr>
      </w:pPr>
      <w:r w:rsidRPr="001E1792">
        <w:rPr>
          <w:spacing w:val="-2"/>
          <w:sz w:val="28"/>
          <w:szCs w:val="28"/>
        </w:rPr>
        <w:t>(Джерело</w:t>
      </w:r>
      <w:r w:rsidRPr="001E1792">
        <w:rPr>
          <w:sz w:val="28"/>
          <w:szCs w:val="28"/>
        </w:rPr>
        <w:t xml:space="preserve"> </w:t>
      </w:r>
      <w:r w:rsidR="00213A74" w:rsidRPr="001E1792">
        <w:rPr>
          <w:sz w:val="28"/>
          <w:szCs w:val="28"/>
        </w:rPr>
        <w:t>:</w:t>
      </w:r>
      <w:r w:rsidR="0074134C" w:rsidRPr="001E1792">
        <w:rPr>
          <w:sz w:val="28"/>
          <w:szCs w:val="28"/>
        </w:rPr>
        <w:t xml:space="preserve"> www.futuresindustry.com</w:t>
      </w:r>
      <w:r w:rsidRPr="001E1792">
        <w:rPr>
          <w:spacing w:val="-2"/>
          <w:sz w:val="28"/>
          <w:szCs w:val="28"/>
        </w:rPr>
        <w:t>)</w:t>
      </w:r>
    </w:p>
    <w:p w:rsidR="009A5F4F" w:rsidRDefault="009A5F4F" w:rsidP="000001A6">
      <w:pPr>
        <w:spacing w:after="0" w:line="360" w:lineRule="auto"/>
        <w:ind w:firstLine="454"/>
        <w:jc w:val="both"/>
        <w:rPr>
          <w:spacing w:val="-2"/>
          <w:sz w:val="28"/>
          <w:szCs w:val="28"/>
        </w:rPr>
      </w:pPr>
    </w:p>
    <w:p w:rsidR="000001A6" w:rsidRPr="001E1792" w:rsidRDefault="000001A6" w:rsidP="000001A6">
      <w:pPr>
        <w:spacing w:after="0" w:line="360" w:lineRule="auto"/>
        <w:ind w:firstLine="454"/>
        <w:jc w:val="both"/>
        <w:rPr>
          <w:spacing w:val="-2"/>
          <w:sz w:val="28"/>
          <w:szCs w:val="28"/>
        </w:rPr>
      </w:pPr>
      <w:r w:rsidRPr="001E1792">
        <w:rPr>
          <w:spacing w:val="-2"/>
          <w:sz w:val="28"/>
          <w:szCs w:val="28"/>
        </w:rPr>
        <w:lastRenderedPageBreak/>
        <w:t xml:space="preserve">Ф’ючерси, відповідно, на 95 % застосовуються у стратегії хеджування. Аналіз світового обігу біржових інструментів на 84 найбільших біржах вказує про збереження </w:t>
      </w:r>
      <w:r>
        <w:rPr>
          <w:spacing w:val="-2"/>
          <w:sz w:val="28"/>
          <w:szCs w:val="28"/>
        </w:rPr>
        <w:t xml:space="preserve">тенденцій домінування ф’ючерсів. </w:t>
      </w:r>
      <w:r w:rsidRPr="001E1792">
        <w:rPr>
          <w:spacing w:val="-2"/>
          <w:sz w:val="28"/>
          <w:szCs w:val="28"/>
        </w:rPr>
        <w:t>Загальний обсяг укладений ф’ючерсних та опціонних біржових контрактів становив у 2013 році 21, 64 млрд., що на 2,1 % більше порівняно з попереднім роком.</w:t>
      </w:r>
    </w:p>
    <w:p w:rsidR="000D6DC8" w:rsidRPr="001E1792" w:rsidRDefault="000D6DC8" w:rsidP="000D6DC8">
      <w:pPr>
        <w:spacing w:after="0" w:line="360" w:lineRule="auto"/>
        <w:ind w:firstLine="454"/>
        <w:jc w:val="both"/>
        <w:rPr>
          <w:spacing w:val="-2"/>
          <w:sz w:val="28"/>
          <w:szCs w:val="28"/>
        </w:rPr>
      </w:pPr>
      <w:r w:rsidRPr="001E1792">
        <w:rPr>
          <w:spacing w:val="-2"/>
          <w:sz w:val="28"/>
          <w:szCs w:val="28"/>
        </w:rPr>
        <w:t>Ф’ючерсне хеджування – це процес укладення угод практично із зведенням ризиків товаровиробників до нуля. За рахунок того, що ціна на ф’ючерсному ринку є попередньо встановленою та відомою усім учасникам, це стимулює процес зниження затрат роздрібних покупців, оскільки таким чином стримується неконтрольоване підняття цін зі сторони виробників.</w:t>
      </w:r>
    </w:p>
    <w:p w:rsidR="000D6DC8" w:rsidRPr="001E1792" w:rsidRDefault="000D6DC8" w:rsidP="000D6DC8">
      <w:pPr>
        <w:spacing w:after="0" w:line="360" w:lineRule="auto"/>
        <w:ind w:firstLine="454"/>
        <w:jc w:val="both"/>
        <w:rPr>
          <w:spacing w:val="-2"/>
          <w:sz w:val="28"/>
          <w:szCs w:val="28"/>
        </w:rPr>
      </w:pPr>
      <w:r w:rsidRPr="001E1792">
        <w:rPr>
          <w:spacing w:val="-2"/>
          <w:sz w:val="28"/>
          <w:szCs w:val="28"/>
        </w:rPr>
        <w:t xml:space="preserve">Головною цінністю процесу використання ф’ючерсів у </w:t>
      </w:r>
      <w:proofErr w:type="spellStart"/>
      <w:r w:rsidRPr="001E1792">
        <w:rPr>
          <w:spacing w:val="-2"/>
          <w:sz w:val="28"/>
          <w:szCs w:val="28"/>
        </w:rPr>
        <w:t>хеджуванні</w:t>
      </w:r>
      <w:proofErr w:type="spellEnd"/>
      <w:r w:rsidRPr="001E1792">
        <w:rPr>
          <w:spacing w:val="-2"/>
          <w:sz w:val="28"/>
          <w:szCs w:val="28"/>
        </w:rPr>
        <w:t xml:space="preserve"> є:</w:t>
      </w:r>
    </w:p>
    <w:p w:rsidR="000D6DC8" w:rsidRPr="001E1792" w:rsidRDefault="000D6DC8" w:rsidP="009F7D71">
      <w:pPr>
        <w:pStyle w:val="a6"/>
        <w:numPr>
          <w:ilvl w:val="0"/>
          <w:numId w:val="1"/>
        </w:numPr>
        <w:spacing w:after="0" w:line="360" w:lineRule="auto"/>
        <w:jc w:val="both"/>
        <w:rPr>
          <w:spacing w:val="-2"/>
          <w:sz w:val="28"/>
          <w:szCs w:val="28"/>
          <w:lang w:val="uk-UA"/>
        </w:rPr>
      </w:pPr>
      <w:r w:rsidRPr="001E1792">
        <w:rPr>
          <w:spacing w:val="-2"/>
          <w:sz w:val="28"/>
          <w:szCs w:val="28"/>
          <w:lang w:val="uk-UA"/>
        </w:rPr>
        <w:t>гарантованість (використання інституту клірингу для з</w:t>
      </w:r>
      <w:r w:rsidR="009F7D71" w:rsidRPr="001E1792">
        <w:rPr>
          <w:spacing w:val="-2"/>
          <w:sz w:val="28"/>
          <w:szCs w:val="28"/>
          <w:lang w:val="uk-UA"/>
        </w:rPr>
        <w:t>абезпечення зобов’язань сторін)</w:t>
      </w:r>
      <w:r w:rsidRPr="001E1792">
        <w:rPr>
          <w:spacing w:val="-2"/>
          <w:sz w:val="28"/>
          <w:szCs w:val="28"/>
          <w:lang w:val="uk-UA"/>
        </w:rPr>
        <w:t>;</w:t>
      </w:r>
    </w:p>
    <w:p w:rsidR="000D6DC8" w:rsidRPr="001E1792" w:rsidRDefault="000D6DC8" w:rsidP="000D6DC8">
      <w:pPr>
        <w:pStyle w:val="a6"/>
        <w:numPr>
          <w:ilvl w:val="0"/>
          <w:numId w:val="1"/>
        </w:numPr>
        <w:spacing w:after="0" w:line="360" w:lineRule="auto"/>
        <w:jc w:val="both"/>
        <w:rPr>
          <w:spacing w:val="-2"/>
          <w:sz w:val="28"/>
          <w:szCs w:val="28"/>
          <w:lang w:val="uk-UA"/>
        </w:rPr>
      </w:pPr>
      <w:r w:rsidRPr="001E1792">
        <w:rPr>
          <w:spacing w:val="-2"/>
          <w:sz w:val="28"/>
          <w:szCs w:val="28"/>
          <w:lang w:val="uk-UA"/>
        </w:rPr>
        <w:t>низькі витрати на обслуговування (укладення контрактів безкоштовне);</w:t>
      </w:r>
    </w:p>
    <w:p w:rsidR="000D6DC8" w:rsidRPr="001E1792" w:rsidRDefault="000D6DC8" w:rsidP="000D6DC8">
      <w:pPr>
        <w:pStyle w:val="a6"/>
        <w:numPr>
          <w:ilvl w:val="0"/>
          <w:numId w:val="1"/>
        </w:numPr>
        <w:spacing w:after="0" w:line="360" w:lineRule="auto"/>
        <w:jc w:val="both"/>
        <w:rPr>
          <w:spacing w:val="-2"/>
          <w:sz w:val="28"/>
          <w:szCs w:val="28"/>
          <w:lang w:val="uk-UA"/>
        </w:rPr>
      </w:pPr>
      <w:r w:rsidRPr="001E1792">
        <w:rPr>
          <w:spacing w:val="-2"/>
          <w:sz w:val="28"/>
          <w:szCs w:val="28"/>
          <w:lang w:val="uk-UA"/>
        </w:rPr>
        <w:t xml:space="preserve">ф’ючерсна ціна відрізняється від вартості контракту. </w:t>
      </w:r>
    </w:p>
    <w:p w:rsidR="000D6DC8" w:rsidRPr="001E1792" w:rsidRDefault="000D6DC8" w:rsidP="00213A74">
      <w:pPr>
        <w:spacing w:after="0" w:line="360" w:lineRule="auto"/>
        <w:ind w:firstLine="454"/>
        <w:jc w:val="both"/>
        <w:rPr>
          <w:spacing w:val="-2"/>
          <w:sz w:val="28"/>
          <w:szCs w:val="28"/>
        </w:rPr>
      </w:pPr>
      <w:r w:rsidRPr="001E1792">
        <w:rPr>
          <w:spacing w:val="-2"/>
          <w:sz w:val="28"/>
          <w:szCs w:val="28"/>
        </w:rPr>
        <w:t>Гарантування зобов’язань за ф’ючерс</w:t>
      </w:r>
      <w:r w:rsidR="00213A74" w:rsidRPr="001E1792">
        <w:rPr>
          <w:spacing w:val="-2"/>
          <w:sz w:val="28"/>
          <w:szCs w:val="28"/>
        </w:rPr>
        <w:t>ами</w:t>
      </w:r>
      <w:r w:rsidRPr="001E1792">
        <w:rPr>
          <w:spacing w:val="-2"/>
          <w:sz w:val="28"/>
          <w:szCs w:val="28"/>
        </w:rPr>
        <w:t xml:space="preserve"> забезпечує фінансову стабільність строковим ринкам, довіру до них </w:t>
      </w:r>
      <w:r w:rsidR="005E7F9C" w:rsidRPr="001E1792">
        <w:rPr>
          <w:spacing w:val="-2"/>
          <w:sz w:val="28"/>
          <w:szCs w:val="28"/>
        </w:rPr>
        <w:t>і</w:t>
      </w:r>
      <w:r w:rsidRPr="001E1792">
        <w:rPr>
          <w:spacing w:val="-2"/>
          <w:sz w:val="28"/>
          <w:szCs w:val="28"/>
        </w:rPr>
        <w:t xml:space="preserve"> формує міцну структуру ризик-менеджменту, а отже високу затребуваність при провадженн</w:t>
      </w:r>
      <w:r w:rsidR="005E7F9C" w:rsidRPr="001E1792">
        <w:rPr>
          <w:spacing w:val="-2"/>
          <w:sz w:val="28"/>
          <w:szCs w:val="28"/>
        </w:rPr>
        <w:t>і</w:t>
      </w:r>
      <w:r w:rsidRPr="001E1792">
        <w:rPr>
          <w:spacing w:val="-2"/>
          <w:sz w:val="28"/>
          <w:szCs w:val="28"/>
        </w:rPr>
        <w:t xml:space="preserve"> господарської діяльності. Сам собою ф’ючерсний контракт не має цінності для інвестора. Вартість контракту повністю залежить від вартості товару, що його наповнює. Фактично, ф’ючерс є похідним від товарів, механізмом інвестування інвесторів у них. </w:t>
      </w:r>
    </w:p>
    <w:p w:rsidR="00F52806" w:rsidRPr="00F52806" w:rsidRDefault="005E7F9C" w:rsidP="00F52806">
      <w:pPr>
        <w:spacing w:after="0" w:line="360" w:lineRule="auto"/>
        <w:ind w:firstLine="454"/>
        <w:jc w:val="both"/>
        <w:rPr>
          <w:b/>
          <w:bCs/>
          <w:sz w:val="28"/>
          <w:szCs w:val="28"/>
        </w:rPr>
      </w:pPr>
      <w:r w:rsidRPr="001E1792">
        <w:rPr>
          <w:b/>
          <w:bCs/>
          <w:sz w:val="28"/>
          <w:szCs w:val="28"/>
        </w:rPr>
        <w:t xml:space="preserve">Висновки </w:t>
      </w:r>
      <w:r w:rsidR="005C0974" w:rsidRPr="001E1792">
        <w:rPr>
          <w:spacing w:val="-2"/>
          <w:sz w:val="28"/>
          <w:szCs w:val="28"/>
        </w:rPr>
        <w:t xml:space="preserve">Вочевидь, корінь всіх проблем сільгоспвиробника -  це ризики реалізації  і ризики недоотримання доходів від коливання цін. </w:t>
      </w:r>
      <w:r w:rsidR="009F7D71" w:rsidRPr="001E1792">
        <w:rPr>
          <w:spacing w:val="-2"/>
          <w:sz w:val="28"/>
          <w:szCs w:val="28"/>
        </w:rPr>
        <w:t>Міжнародний досвід свідчить, що одним із найефективніших механізмів детінізації та демонополізації аграрного ринку, прозорого ринкового ціноутворення</w:t>
      </w:r>
      <w:r w:rsidR="00C71B5C">
        <w:rPr>
          <w:spacing w:val="-2"/>
          <w:sz w:val="28"/>
          <w:szCs w:val="28"/>
        </w:rPr>
        <w:t xml:space="preserve"> є розвиток біржових  відносин: б</w:t>
      </w:r>
      <w:r w:rsidR="009F7D71" w:rsidRPr="001E1792">
        <w:rPr>
          <w:spacing w:val="-2"/>
          <w:sz w:val="28"/>
          <w:szCs w:val="28"/>
        </w:rPr>
        <w:t xml:space="preserve">іржова діяльність сприяє формуванню конкурентних справедливих цін </w:t>
      </w:r>
      <w:r w:rsidR="00D76CD6" w:rsidRPr="001E1792">
        <w:rPr>
          <w:spacing w:val="-2"/>
          <w:sz w:val="28"/>
          <w:szCs w:val="28"/>
        </w:rPr>
        <w:t>і</w:t>
      </w:r>
      <w:r w:rsidR="009F7D71" w:rsidRPr="001E1792">
        <w:rPr>
          <w:spacing w:val="-2"/>
          <w:sz w:val="28"/>
          <w:szCs w:val="28"/>
        </w:rPr>
        <w:t xml:space="preserve"> зниженню цінових ризиків. Біржовий механізм ціноутворення стриму</w:t>
      </w:r>
      <w:r w:rsidR="00C71B5C">
        <w:rPr>
          <w:spacing w:val="-2"/>
          <w:sz w:val="28"/>
          <w:szCs w:val="28"/>
        </w:rPr>
        <w:t>є</w:t>
      </w:r>
      <w:r w:rsidR="009F7D71" w:rsidRPr="001E1792">
        <w:rPr>
          <w:spacing w:val="-2"/>
          <w:sz w:val="28"/>
          <w:szCs w:val="28"/>
        </w:rPr>
        <w:t xml:space="preserve"> надмірних коливань, а отже різк</w:t>
      </w:r>
      <w:r w:rsidR="00C71B5C">
        <w:rPr>
          <w:spacing w:val="-2"/>
          <w:sz w:val="28"/>
          <w:szCs w:val="28"/>
        </w:rPr>
        <w:t>і перепади</w:t>
      </w:r>
      <w:r w:rsidR="009F7D71" w:rsidRPr="001E1792">
        <w:rPr>
          <w:spacing w:val="-2"/>
          <w:sz w:val="28"/>
          <w:szCs w:val="28"/>
        </w:rPr>
        <w:t xml:space="preserve"> цін на сировинні товари. Біржовий ринок стає місцем «переробки» цінових ризиків: тут ціна </w:t>
      </w:r>
      <w:r w:rsidR="009F7D71" w:rsidRPr="001E1792">
        <w:rPr>
          <w:spacing w:val="-2"/>
          <w:sz w:val="28"/>
          <w:szCs w:val="28"/>
        </w:rPr>
        <w:lastRenderedPageBreak/>
        <w:t>встановлюється і переноситься із тих, хто не може нести цінові ризики на тих, хто може використати їх з метою отримання прибутку; нівелюється небезпека цінових коливань; забезпечується отримання очікуваних цін і торгівельних вигод.</w:t>
      </w:r>
      <w:r w:rsidR="00D76CD6" w:rsidRPr="001E1792">
        <w:rPr>
          <w:spacing w:val="-2"/>
          <w:sz w:val="28"/>
          <w:szCs w:val="28"/>
        </w:rPr>
        <w:t xml:space="preserve"> </w:t>
      </w:r>
      <w:r w:rsidR="009F7D71" w:rsidRPr="001E1792">
        <w:rPr>
          <w:spacing w:val="-2"/>
          <w:sz w:val="28"/>
          <w:szCs w:val="28"/>
        </w:rPr>
        <w:t>В арсеналі біржового ризик-менеджменту є широкий спектр інструментів, взятих на озброєння світовою практикою</w:t>
      </w:r>
      <w:r w:rsidR="00D76CD6" w:rsidRPr="001E1792">
        <w:rPr>
          <w:spacing w:val="-2"/>
          <w:sz w:val="28"/>
          <w:szCs w:val="28"/>
        </w:rPr>
        <w:t>. Н</w:t>
      </w:r>
      <w:r w:rsidR="00D76CD6" w:rsidRPr="001E1792">
        <w:rPr>
          <w:rFonts w:eastAsia="Times New Roman"/>
          <w:sz w:val="28"/>
          <w:szCs w:val="28"/>
          <w:lang w:eastAsia="uk-UA"/>
        </w:rPr>
        <w:t xml:space="preserve">айбільш цінними є ті, які можна використати для хеджування – </w:t>
      </w:r>
      <w:r w:rsidR="00D76CD6" w:rsidRPr="001E1792">
        <w:rPr>
          <w:bCs/>
          <w:sz w:val="28"/>
          <w:szCs w:val="28"/>
        </w:rPr>
        <w:t xml:space="preserve">процесу усунення цінових ризиків шляхом різних стратегій їх прийняття, структуруванням з метою визначення того, яку частину ризику можливо усунути самостійно, а яку варто передати іншим. </w:t>
      </w:r>
      <w:r w:rsidR="00F52806">
        <w:rPr>
          <w:bCs/>
          <w:sz w:val="28"/>
          <w:szCs w:val="28"/>
        </w:rPr>
        <w:t>Проте, щоб застосування біржових інструментів управління ціновими ризиками ефективно використовувалися вітчизняними суб’єктами господарювання потрібно розробляти детальні механізми їх обігу, зокрема ф’ючерсів та форвардів. Власне ці напрямки подальших досліджень розглядаються нами як найбільш перспективні.</w:t>
      </w:r>
    </w:p>
    <w:p w:rsidR="00453582" w:rsidRPr="001E1792" w:rsidRDefault="00453582" w:rsidP="00C67278">
      <w:pPr>
        <w:bidi/>
        <w:spacing w:after="0" w:line="360" w:lineRule="auto"/>
        <w:ind w:firstLine="709"/>
        <w:jc w:val="right"/>
        <w:rPr>
          <w:b/>
          <w:bCs/>
          <w:sz w:val="28"/>
          <w:szCs w:val="28"/>
        </w:rPr>
      </w:pPr>
    </w:p>
    <w:p w:rsidR="00C67278" w:rsidRPr="001E1792" w:rsidRDefault="00607D10" w:rsidP="00453582">
      <w:pPr>
        <w:bidi/>
        <w:spacing w:after="0" w:line="276" w:lineRule="auto"/>
        <w:ind w:firstLine="709"/>
        <w:jc w:val="right"/>
        <w:rPr>
          <w:b/>
          <w:bCs/>
          <w:sz w:val="28"/>
          <w:szCs w:val="28"/>
        </w:rPr>
      </w:pPr>
      <w:r w:rsidRPr="001E1792">
        <w:rPr>
          <w:b/>
          <w:bCs/>
          <w:sz w:val="28"/>
          <w:szCs w:val="28"/>
        </w:rPr>
        <w:t>Література:</w:t>
      </w:r>
    </w:p>
    <w:p w:rsidR="00C67278" w:rsidRPr="001E1792" w:rsidRDefault="00C67278" w:rsidP="007759C5">
      <w:pPr>
        <w:pStyle w:val="a6"/>
        <w:numPr>
          <w:ilvl w:val="0"/>
          <w:numId w:val="4"/>
        </w:numPr>
        <w:spacing w:after="0" w:line="276" w:lineRule="auto"/>
        <w:ind w:left="0" w:firstLine="284"/>
        <w:contextualSpacing w:val="0"/>
        <w:jc w:val="both"/>
        <w:rPr>
          <w:sz w:val="28"/>
          <w:szCs w:val="28"/>
          <w:lang w:val="en-US"/>
        </w:rPr>
      </w:pPr>
      <w:r w:rsidRPr="001E1792">
        <w:rPr>
          <w:sz w:val="28"/>
          <w:szCs w:val="28"/>
          <w:lang w:val="en-US"/>
        </w:rPr>
        <w:t>A Survey of Commodity Risk Management Inst</w:t>
      </w:r>
      <w:r w:rsidR="00AA19C5" w:rsidRPr="001E1792">
        <w:rPr>
          <w:sz w:val="28"/>
          <w:szCs w:val="28"/>
          <w:lang w:val="en-US"/>
        </w:rPr>
        <w:t>ruments [</w:t>
      </w:r>
      <w:proofErr w:type="spellStart"/>
      <w:r w:rsidR="00AA19C5" w:rsidRPr="001E1792">
        <w:rPr>
          <w:sz w:val="28"/>
          <w:szCs w:val="28"/>
          <w:lang w:val="en-US"/>
        </w:rPr>
        <w:t>Електронний</w:t>
      </w:r>
      <w:proofErr w:type="spellEnd"/>
      <w:r w:rsidR="00AA19C5" w:rsidRPr="001E1792">
        <w:rPr>
          <w:sz w:val="28"/>
          <w:szCs w:val="28"/>
          <w:lang w:val="en-US"/>
        </w:rPr>
        <w:t xml:space="preserve"> </w:t>
      </w:r>
      <w:proofErr w:type="spellStart"/>
      <w:r w:rsidR="00AA19C5" w:rsidRPr="001E1792">
        <w:rPr>
          <w:sz w:val="28"/>
          <w:szCs w:val="28"/>
          <w:lang w:val="en-US"/>
        </w:rPr>
        <w:t>ресурс</w:t>
      </w:r>
      <w:proofErr w:type="spellEnd"/>
      <w:r w:rsidR="00AA19C5" w:rsidRPr="001E1792">
        <w:rPr>
          <w:sz w:val="28"/>
          <w:szCs w:val="28"/>
          <w:lang w:val="en-US"/>
        </w:rPr>
        <w:t>] /</w:t>
      </w:r>
      <w:r w:rsidR="00AA19C5" w:rsidRPr="001E1792">
        <w:rPr>
          <w:sz w:val="28"/>
          <w:szCs w:val="28"/>
          <w:lang w:val="uk-UA"/>
        </w:rPr>
        <w:t xml:space="preserve"> </w:t>
      </w:r>
      <w:r w:rsidRPr="001E1792">
        <w:rPr>
          <w:sz w:val="28"/>
          <w:szCs w:val="28"/>
          <w:lang w:val="en-US"/>
        </w:rPr>
        <w:t>Report by the UNCTAD secretariat.</w:t>
      </w:r>
      <w:r w:rsidR="00AA19C5" w:rsidRPr="001E1792">
        <w:rPr>
          <w:sz w:val="28"/>
          <w:szCs w:val="28"/>
          <w:lang w:val="uk-UA"/>
        </w:rPr>
        <w:t xml:space="preserve"> </w:t>
      </w:r>
      <w:r w:rsidRPr="001E1792">
        <w:rPr>
          <w:sz w:val="28"/>
          <w:szCs w:val="28"/>
          <w:lang w:val="en-US"/>
        </w:rPr>
        <w:t>- UNCTAD,15 March 1993</w:t>
      </w:r>
      <w:r w:rsidR="00453582" w:rsidRPr="001E1792">
        <w:rPr>
          <w:sz w:val="28"/>
          <w:szCs w:val="28"/>
          <w:lang w:val="en-US"/>
        </w:rPr>
        <w:t xml:space="preserve"> </w:t>
      </w:r>
      <w:r w:rsidRPr="001E1792">
        <w:rPr>
          <w:sz w:val="28"/>
          <w:szCs w:val="28"/>
          <w:lang w:val="en-US"/>
        </w:rPr>
        <w:t xml:space="preserve">- p. 4-5-  </w:t>
      </w:r>
      <w:proofErr w:type="spellStart"/>
      <w:r w:rsidRPr="001E1792">
        <w:rPr>
          <w:sz w:val="28"/>
          <w:szCs w:val="28"/>
          <w:lang w:val="en-US"/>
        </w:rPr>
        <w:t>Режим</w:t>
      </w:r>
      <w:proofErr w:type="spellEnd"/>
      <w:r w:rsidRPr="001E1792">
        <w:rPr>
          <w:sz w:val="28"/>
          <w:szCs w:val="28"/>
          <w:lang w:val="en-US"/>
        </w:rPr>
        <w:t xml:space="preserve"> </w:t>
      </w:r>
      <w:proofErr w:type="spellStart"/>
      <w:r w:rsidRPr="001E1792">
        <w:rPr>
          <w:sz w:val="28"/>
          <w:szCs w:val="28"/>
          <w:lang w:val="en-US"/>
        </w:rPr>
        <w:t>доступу</w:t>
      </w:r>
      <w:proofErr w:type="spellEnd"/>
      <w:r w:rsidRPr="001E1792">
        <w:rPr>
          <w:sz w:val="28"/>
          <w:szCs w:val="28"/>
          <w:lang w:val="en-US"/>
        </w:rPr>
        <w:t xml:space="preserve">: </w:t>
      </w:r>
      <w:hyperlink r:id="rId10" w:history="1">
        <w:r w:rsidRPr="001E1792">
          <w:rPr>
            <w:rStyle w:val="ae"/>
            <w:sz w:val="28"/>
            <w:szCs w:val="28"/>
            <w:lang w:val="en-US"/>
          </w:rPr>
          <w:t>http://unctad.org/en/docs/pocomd15r2.en.pdf</w:t>
        </w:r>
      </w:hyperlink>
    </w:p>
    <w:p w:rsidR="00C67278" w:rsidRPr="001E1792" w:rsidRDefault="00C67278" w:rsidP="007759C5">
      <w:pPr>
        <w:pStyle w:val="a6"/>
        <w:numPr>
          <w:ilvl w:val="0"/>
          <w:numId w:val="4"/>
        </w:numPr>
        <w:spacing w:after="0" w:line="276" w:lineRule="auto"/>
        <w:ind w:left="0" w:firstLine="284"/>
        <w:contextualSpacing w:val="0"/>
        <w:jc w:val="both"/>
        <w:rPr>
          <w:sz w:val="28"/>
          <w:szCs w:val="28"/>
          <w:lang w:val="en-US"/>
        </w:rPr>
      </w:pPr>
      <w:r w:rsidRPr="001E1792">
        <w:rPr>
          <w:sz w:val="28"/>
          <w:szCs w:val="28"/>
          <w:lang w:val="en-US"/>
        </w:rPr>
        <w:t>Research Notes: 2009 [</w:t>
      </w:r>
      <w:proofErr w:type="spellStart"/>
      <w:r w:rsidRPr="001E1792">
        <w:rPr>
          <w:sz w:val="28"/>
          <w:szCs w:val="28"/>
          <w:lang w:val="en-US"/>
        </w:rPr>
        <w:t>електронний</w:t>
      </w:r>
      <w:proofErr w:type="spellEnd"/>
      <w:r w:rsidRPr="001E1792">
        <w:rPr>
          <w:sz w:val="28"/>
          <w:szCs w:val="28"/>
          <w:lang w:val="en-US"/>
        </w:rPr>
        <w:t xml:space="preserve"> </w:t>
      </w:r>
      <w:proofErr w:type="spellStart"/>
      <w:r w:rsidRPr="001E1792">
        <w:rPr>
          <w:sz w:val="28"/>
          <w:szCs w:val="28"/>
          <w:lang w:val="en-US"/>
        </w:rPr>
        <w:t>ресурс</w:t>
      </w:r>
      <w:proofErr w:type="spellEnd"/>
      <w:r w:rsidRPr="001E1792">
        <w:rPr>
          <w:sz w:val="28"/>
          <w:szCs w:val="28"/>
          <w:lang w:val="en-US"/>
        </w:rPr>
        <w:t xml:space="preserve">] / </w:t>
      </w:r>
      <w:r w:rsidR="00453582" w:rsidRPr="001E1792">
        <w:rPr>
          <w:sz w:val="28"/>
          <w:szCs w:val="28"/>
          <w:lang w:val="en-US"/>
        </w:rPr>
        <w:t xml:space="preserve">Derivatives Usage Survey. -  </w:t>
      </w:r>
      <w:r w:rsidRPr="001E1792">
        <w:rPr>
          <w:sz w:val="28"/>
          <w:szCs w:val="28"/>
          <w:lang w:val="en-US"/>
        </w:rPr>
        <w:t xml:space="preserve">International Derivatives and Swaps Association, - №2. – 2009. – </w:t>
      </w:r>
      <w:proofErr w:type="spellStart"/>
      <w:r w:rsidRPr="001E1792">
        <w:rPr>
          <w:sz w:val="28"/>
          <w:szCs w:val="28"/>
          <w:lang w:val="en-US"/>
        </w:rPr>
        <w:t>Режим</w:t>
      </w:r>
      <w:proofErr w:type="spellEnd"/>
      <w:r w:rsidRPr="001E1792">
        <w:rPr>
          <w:sz w:val="28"/>
          <w:szCs w:val="28"/>
          <w:lang w:val="en-US"/>
        </w:rPr>
        <w:t xml:space="preserve"> </w:t>
      </w:r>
      <w:proofErr w:type="spellStart"/>
      <w:r w:rsidRPr="001E1792">
        <w:rPr>
          <w:sz w:val="28"/>
          <w:szCs w:val="28"/>
          <w:lang w:val="en-US"/>
        </w:rPr>
        <w:t>доступу</w:t>
      </w:r>
      <w:proofErr w:type="spellEnd"/>
      <w:r w:rsidRPr="001E1792">
        <w:rPr>
          <w:sz w:val="28"/>
          <w:szCs w:val="28"/>
          <w:lang w:val="en-US"/>
        </w:rPr>
        <w:t xml:space="preserve"> </w:t>
      </w:r>
      <w:proofErr w:type="spellStart"/>
      <w:r w:rsidRPr="001E1792">
        <w:rPr>
          <w:sz w:val="28"/>
          <w:szCs w:val="28"/>
          <w:lang w:val="en-US"/>
        </w:rPr>
        <w:t>до</w:t>
      </w:r>
      <w:proofErr w:type="spellEnd"/>
      <w:r w:rsidRPr="001E1792">
        <w:rPr>
          <w:sz w:val="28"/>
          <w:szCs w:val="28"/>
          <w:lang w:val="en-US"/>
        </w:rPr>
        <w:t xml:space="preserve"> </w:t>
      </w:r>
      <w:proofErr w:type="spellStart"/>
      <w:r w:rsidRPr="001E1792">
        <w:rPr>
          <w:sz w:val="28"/>
          <w:szCs w:val="28"/>
          <w:lang w:val="en-US"/>
        </w:rPr>
        <w:t>ресурсу</w:t>
      </w:r>
      <w:proofErr w:type="spellEnd"/>
      <w:r w:rsidRPr="001E1792">
        <w:rPr>
          <w:sz w:val="28"/>
          <w:szCs w:val="28"/>
          <w:lang w:val="en-US"/>
        </w:rPr>
        <w:t xml:space="preserve"> - </w:t>
      </w:r>
      <w:hyperlink r:id="rId11" w:history="1">
        <w:r w:rsidRPr="001E1792">
          <w:rPr>
            <w:rStyle w:val="ae"/>
            <w:sz w:val="28"/>
            <w:szCs w:val="28"/>
            <w:lang w:val="en-US"/>
          </w:rPr>
          <w:t>http://www.isda.org/researchnotes/pdf/ISDA-Research-Notes2.pd</w:t>
        </w:r>
      </w:hyperlink>
    </w:p>
    <w:p w:rsidR="00C67278" w:rsidRPr="001E1792" w:rsidRDefault="00C67278" w:rsidP="007759C5">
      <w:pPr>
        <w:pStyle w:val="a6"/>
        <w:numPr>
          <w:ilvl w:val="0"/>
          <w:numId w:val="4"/>
        </w:numPr>
        <w:spacing w:after="0" w:line="276" w:lineRule="auto"/>
        <w:ind w:left="0" w:firstLine="284"/>
        <w:contextualSpacing w:val="0"/>
        <w:jc w:val="both"/>
        <w:rPr>
          <w:sz w:val="28"/>
          <w:szCs w:val="28"/>
          <w:lang w:val="en-US"/>
        </w:rPr>
      </w:pPr>
      <w:proofErr w:type="spellStart"/>
      <w:r w:rsidRPr="001E1792">
        <w:rPr>
          <w:sz w:val="28"/>
          <w:szCs w:val="28"/>
          <w:lang w:val="en-US"/>
        </w:rPr>
        <w:t>Ruggero</w:t>
      </w:r>
      <w:proofErr w:type="spellEnd"/>
      <w:r w:rsidRPr="001E1792">
        <w:rPr>
          <w:sz w:val="28"/>
          <w:szCs w:val="28"/>
          <w:lang w:val="en-US"/>
        </w:rPr>
        <w:t xml:space="preserve"> P. Contracts for Commodities: Forward Contract or Commodity Contract [</w:t>
      </w:r>
      <w:proofErr w:type="spellStart"/>
      <w:r w:rsidRPr="001E1792">
        <w:rPr>
          <w:sz w:val="28"/>
          <w:szCs w:val="28"/>
          <w:lang w:val="en-US"/>
        </w:rPr>
        <w:t>електронний</w:t>
      </w:r>
      <w:proofErr w:type="spellEnd"/>
      <w:r w:rsidRPr="001E1792">
        <w:rPr>
          <w:sz w:val="28"/>
          <w:szCs w:val="28"/>
          <w:lang w:val="en-US"/>
        </w:rPr>
        <w:t xml:space="preserve"> </w:t>
      </w:r>
      <w:proofErr w:type="spellStart"/>
      <w:r w:rsidRPr="001E1792">
        <w:rPr>
          <w:sz w:val="28"/>
          <w:szCs w:val="28"/>
          <w:lang w:val="en-US"/>
        </w:rPr>
        <w:t>ресурс</w:t>
      </w:r>
      <w:proofErr w:type="spellEnd"/>
      <w:r w:rsidRPr="001E1792">
        <w:rPr>
          <w:sz w:val="28"/>
          <w:szCs w:val="28"/>
          <w:lang w:val="en-US"/>
        </w:rPr>
        <w:t xml:space="preserve">] / Peter </w:t>
      </w:r>
      <w:proofErr w:type="spellStart"/>
      <w:r w:rsidRPr="001E1792">
        <w:rPr>
          <w:sz w:val="28"/>
          <w:szCs w:val="28"/>
          <w:lang w:val="en-US"/>
        </w:rPr>
        <w:t>Ruggero</w:t>
      </w:r>
      <w:proofErr w:type="spellEnd"/>
      <w:r w:rsidRPr="001E1792">
        <w:rPr>
          <w:sz w:val="28"/>
          <w:szCs w:val="28"/>
          <w:lang w:val="en-US"/>
        </w:rPr>
        <w:t xml:space="preserve">, Richard J. </w:t>
      </w:r>
      <w:proofErr w:type="spellStart"/>
      <w:r w:rsidRPr="001E1792">
        <w:rPr>
          <w:sz w:val="28"/>
          <w:szCs w:val="28"/>
          <w:lang w:val="en-US"/>
        </w:rPr>
        <w:t>Corbi</w:t>
      </w:r>
      <w:proofErr w:type="spellEnd"/>
      <w:r w:rsidRPr="001E1792">
        <w:rPr>
          <w:sz w:val="28"/>
          <w:szCs w:val="28"/>
          <w:lang w:val="en-US"/>
        </w:rPr>
        <w:t xml:space="preserve"> -  Norton Journal of Bankruptcy Law and Practice  - Vol. 18. -  № 4. –2009. -  </w:t>
      </w:r>
      <w:proofErr w:type="spellStart"/>
      <w:r w:rsidRPr="001E1792">
        <w:rPr>
          <w:sz w:val="28"/>
          <w:szCs w:val="28"/>
          <w:lang w:val="en-US"/>
        </w:rPr>
        <w:t>Режим</w:t>
      </w:r>
      <w:proofErr w:type="spellEnd"/>
      <w:r w:rsidRPr="001E1792">
        <w:rPr>
          <w:sz w:val="28"/>
          <w:szCs w:val="28"/>
          <w:lang w:val="en-US"/>
        </w:rPr>
        <w:t xml:space="preserve"> </w:t>
      </w:r>
      <w:proofErr w:type="spellStart"/>
      <w:r w:rsidRPr="001E1792">
        <w:rPr>
          <w:sz w:val="28"/>
          <w:szCs w:val="28"/>
          <w:lang w:val="en-US"/>
        </w:rPr>
        <w:t>доступу</w:t>
      </w:r>
      <w:proofErr w:type="spellEnd"/>
      <w:r w:rsidRPr="001E1792">
        <w:rPr>
          <w:sz w:val="28"/>
          <w:szCs w:val="28"/>
          <w:lang w:val="en-US"/>
        </w:rPr>
        <w:t xml:space="preserve"> з </w:t>
      </w:r>
      <w:proofErr w:type="spellStart"/>
      <w:r w:rsidRPr="001E1792">
        <w:rPr>
          <w:sz w:val="28"/>
          <w:szCs w:val="28"/>
          <w:lang w:val="en-US"/>
        </w:rPr>
        <w:t>домену</w:t>
      </w:r>
      <w:proofErr w:type="spellEnd"/>
      <w:r w:rsidRPr="001E1792">
        <w:rPr>
          <w:sz w:val="28"/>
          <w:szCs w:val="28"/>
          <w:lang w:val="en-US"/>
        </w:rPr>
        <w:t xml:space="preserve">- </w:t>
      </w:r>
      <w:hyperlink r:id="rId12" w:history="1">
        <w:r w:rsidRPr="001E1792">
          <w:rPr>
            <w:rStyle w:val="ae"/>
            <w:sz w:val="28"/>
            <w:szCs w:val="28"/>
            <w:lang w:val="en-US"/>
          </w:rPr>
          <w:t>http://www.lowenstein.com</w:t>
        </w:r>
      </w:hyperlink>
    </w:p>
    <w:p w:rsidR="00C67278" w:rsidRPr="001E1792" w:rsidRDefault="00C67278" w:rsidP="007759C5">
      <w:pPr>
        <w:pStyle w:val="a6"/>
        <w:numPr>
          <w:ilvl w:val="0"/>
          <w:numId w:val="4"/>
        </w:numPr>
        <w:spacing w:after="0" w:line="276" w:lineRule="auto"/>
        <w:ind w:left="0" w:firstLine="284"/>
        <w:contextualSpacing w:val="0"/>
        <w:jc w:val="both"/>
        <w:rPr>
          <w:sz w:val="28"/>
          <w:szCs w:val="28"/>
          <w:lang w:val="en-US"/>
        </w:rPr>
      </w:pPr>
      <w:r w:rsidRPr="001E1792">
        <w:rPr>
          <w:sz w:val="28"/>
          <w:szCs w:val="28"/>
          <w:lang w:val="en-US"/>
        </w:rPr>
        <w:t xml:space="preserve">Statement </w:t>
      </w:r>
      <w:proofErr w:type="spellStart"/>
      <w:r w:rsidRPr="001E1792">
        <w:rPr>
          <w:sz w:val="28"/>
          <w:szCs w:val="28"/>
          <w:lang w:val="en-US"/>
        </w:rPr>
        <w:t>оf</w:t>
      </w:r>
      <w:proofErr w:type="spellEnd"/>
      <w:r w:rsidRPr="001E1792">
        <w:rPr>
          <w:sz w:val="28"/>
          <w:szCs w:val="28"/>
          <w:lang w:val="en-US"/>
        </w:rPr>
        <w:t xml:space="preserve"> </w:t>
      </w:r>
      <w:proofErr w:type="spellStart"/>
      <w:r w:rsidRPr="001E1792">
        <w:rPr>
          <w:sz w:val="28"/>
          <w:szCs w:val="28"/>
          <w:lang w:val="en-US"/>
        </w:rPr>
        <w:t>аdditional</w:t>
      </w:r>
      <w:proofErr w:type="spellEnd"/>
      <w:r w:rsidRPr="001E1792">
        <w:rPr>
          <w:sz w:val="28"/>
          <w:szCs w:val="28"/>
          <w:lang w:val="en-US"/>
        </w:rPr>
        <w:t xml:space="preserve"> </w:t>
      </w:r>
      <w:proofErr w:type="spellStart"/>
      <w:r w:rsidRPr="001E1792">
        <w:rPr>
          <w:sz w:val="28"/>
          <w:szCs w:val="28"/>
          <w:lang w:val="en-US"/>
        </w:rPr>
        <w:t>іnformation</w:t>
      </w:r>
      <w:proofErr w:type="spellEnd"/>
      <w:r w:rsidRPr="001E1792">
        <w:rPr>
          <w:sz w:val="28"/>
          <w:szCs w:val="28"/>
          <w:lang w:val="en-US"/>
        </w:rPr>
        <w:t xml:space="preserve"> </w:t>
      </w:r>
      <w:r w:rsidR="00AA19C5" w:rsidRPr="001E1792">
        <w:rPr>
          <w:sz w:val="28"/>
          <w:szCs w:val="28"/>
          <w:lang w:val="en-US"/>
        </w:rPr>
        <w:t>[</w:t>
      </w:r>
      <w:proofErr w:type="spellStart"/>
      <w:r w:rsidR="00AA19C5" w:rsidRPr="001E1792">
        <w:rPr>
          <w:sz w:val="28"/>
          <w:szCs w:val="28"/>
          <w:lang w:val="en-US"/>
        </w:rPr>
        <w:t>електронний</w:t>
      </w:r>
      <w:proofErr w:type="spellEnd"/>
      <w:r w:rsidR="00AA19C5" w:rsidRPr="001E1792">
        <w:rPr>
          <w:sz w:val="28"/>
          <w:szCs w:val="28"/>
          <w:lang w:val="en-US"/>
        </w:rPr>
        <w:t xml:space="preserve"> </w:t>
      </w:r>
      <w:proofErr w:type="spellStart"/>
      <w:r w:rsidR="00AA19C5" w:rsidRPr="001E1792">
        <w:rPr>
          <w:sz w:val="28"/>
          <w:szCs w:val="28"/>
          <w:lang w:val="en-US"/>
        </w:rPr>
        <w:t>ресурс</w:t>
      </w:r>
      <w:proofErr w:type="spellEnd"/>
      <w:r w:rsidR="00AA19C5" w:rsidRPr="001E1792">
        <w:rPr>
          <w:sz w:val="28"/>
          <w:szCs w:val="28"/>
          <w:lang w:val="en-US"/>
        </w:rPr>
        <w:t xml:space="preserve">] </w:t>
      </w:r>
      <w:r w:rsidRPr="001E1792">
        <w:rPr>
          <w:sz w:val="28"/>
          <w:szCs w:val="28"/>
          <w:lang w:val="en-US"/>
        </w:rPr>
        <w:t xml:space="preserve">/ Franklin </w:t>
      </w:r>
      <w:proofErr w:type="spellStart"/>
      <w:r w:rsidRPr="001E1792">
        <w:rPr>
          <w:sz w:val="28"/>
          <w:szCs w:val="28"/>
          <w:lang w:val="en-US"/>
        </w:rPr>
        <w:t>Pelagos</w:t>
      </w:r>
      <w:proofErr w:type="spellEnd"/>
      <w:r w:rsidRPr="001E1792">
        <w:rPr>
          <w:sz w:val="28"/>
          <w:szCs w:val="28"/>
          <w:lang w:val="en-US"/>
        </w:rPr>
        <w:t xml:space="preserve"> Commodities Strategy Fund. - 2014. – 65р. – р.6 – </w:t>
      </w:r>
      <w:proofErr w:type="spellStart"/>
      <w:r w:rsidRPr="001E1792">
        <w:rPr>
          <w:sz w:val="28"/>
          <w:szCs w:val="28"/>
          <w:lang w:val="en-US"/>
        </w:rPr>
        <w:t>Режим</w:t>
      </w:r>
      <w:proofErr w:type="spellEnd"/>
      <w:r w:rsidRPr="001E1792">
        <w:rPr>
          <w:sz w:val="28"/>
          <w:szCs w:val="28"/>
          <w:lang w:val="en-US"/>
        </w:rPr>
        <w:t xml:space="preserve"> </w:t>
      </w:r>
      <w:proofErr w:type="spellStart"/>
      <w:r w:rsidRPr="001E1792">
        <w:rPr>
          <w:sz w:val="28"/>
          <w:szCs w:val="28"/>
          <w:lang w:val="en-US"/>
        </w:rPr>
        <w:t>доступу</w:t>
      </w:r>
      <w:proofErr w:type="spellEnd"/>
      <w:r w:rsidRPr="001E1792">
        <w:rPr>
          <w:sz w:val="28"/>
          <w:szCs w:val="28"/>
          <w:lang w:val="en-US"/>
        </w:rPr>
        <w:t xml:space="preserve"> -  </w:t>
      </w:r>
      <w:hyperlink r:id="rId13" w:history="1">
        <w:r w:rsidRPr="001E1792">
          <w:rPr>
            <w:rStyle w:val="ae"/>
            <w:sz w:val="28"/>
            <w:szCs w:val="28"/>
            <w:lang w:val="en-US"/>
          </w:rPr>
          <w:t>https://www.franklintempleton.com/forms-literature/download/995-SAI</w:t>
        </w:r>
      </w:hyperlink>
    </w:p>
    <w:p w:rsidR="00C67278" w:rsidRPr="001E1792" w:rsidRDefault="00C67278" w:rsidP="007759C5">
      <w:pPr>
        <w:pStyle w:val="a6"/>
        <w:numPr>
          <w:ilvl w:val="0"/>
          <w:numId w:val="4"/>
        </w:numPr>
        <w:spacing w:after="0" w:line="276" w:lineRule="auto"/>
        <w:ind w:left="0" w:firstLine="284"/>
        <w:contextualSpacing w:val="0"/>
        <w:jc w:val="both"/>
        <w:rPr>
          <w:sz w:val="28"/>
          <w:szCs w:val="28"/>
          <w:lang w:val="en-US"/>
        </w:rPr>
      </w:pPr>
      <w:r w:rsidRPr="001E1792">
        <w:rPr>
          <w:sz w:val="28"/>
          <w:szCs w:val="28"/>
          <w:lang w:val="en-US"/>
        </w:rPr>
        <w:t>Statistical release OTC derivatives statistics [</w:t>
      </w:r>
      <w:proofErr w:type="spellStart"/>
      <w:r w:rsidRPr="001E1792">
        <w:rPr>
          <w:sz w:val="28"/>
          <w:szCs w:val="28"/>
          <w:lang w:val="en-US"/>
        </w:rPr>
        <w:t>електронний</w:t>
      </w:r>
      <w:proofErr w:type="spellEnd"/>
      <w:r w:rsidRPr="001E1792">
        <w:rPr>
          <w:sz w:val="28"/>
          <w:szCs w:val="28"/>
          <w:lang w:val="en-US"/>
        </w:rPr>
        <w:t xml:space="preserve"> </w:t>
      </w:r>
      <w:proofErr w:type="spellStart"/>
      <w:r w:rsidRPr="001E1792">
        <w:rPr>
          <w:sz w:val="28"/>
          <w:szCs w:val="28"/>
          <w:lang w:val="en-US"/>
        </w:rPr>
        <w:t>ресурс</w:t>
      </w:r>
      <w:proofErr w:type="spellEnd"/>
      <w:r w:rsidRPr="001E1792">
        <w:rPr>
          <w:sz w:val="28"/>
          <w:szCs w:val="28"/>
          <w:lang w:val="en-US"/>
        </w:rPr>
        <w:t xml:space="preserve">] / Bank for international settlements, 2014 – </w:t>
      </w:r>
      <w:proofErr w:type="spellStart"/>
      <w:r w:rsidRPr="001E1792">
        <w:rPr>
          <w:sz w:val="28"/>
          <w:szCs w:val="28"/>
          <w:lang w:val="en-US"/>
        </w:rPr>
        <w:t>Режим</w:t>
      </w:r>
      <w:proofErr w:type="spellEnd"/>
      <w:r w:rsidRPr="001E1792">
        <w:rPr>
          <w:sz w:val="28"/>
          <w:szCs w:val="28"/>
          <w:lang w:val="en-US"/>
        </w:rPr>
        <w:t xml:space="preserve"> </w:t>
      </w:r>
      <w:proofErr w:type="spellStart"/>
      <w:r w:rsidRPr="001E1792">
        <w:rPr>
          <w:sz w:val="28"/>
          <w:szCs w:val="28"/>
          <w:lang w:val="en-US"/>
        </w:rPr>
        <w:t>доступу</w:t>
      </w:r>
      <w:proofErr w:type="spellEnd"/>
      <w:r w:rsidRPr="001E1792">
        <w:rPr>
          <w:sz w:val="28"/>
          <w:szCs w:val="28"/>
          <w:lang w:val="en-US"/>
        </w:rPr>
        <w:t xml:space="preserve"> - </w:t>
      </w:r>
      <w:hyperlink r:id="rId14" w:history="1">
        <w:r w:rsidRPr="001E1792">
          <w:rPr>
            <w:rStyle w:val="ae"/>
            <w:sz w:val="28"/>
            <w:szCs w:val="28"/>
            <w:lang w:val="en-US"/>
          </w:rPr>
          <w:t>http://www.bis.org</w:t>
        </w:r>
      </w:hyperlink>
    </w:p>
    <w:p w:rsidR="002E3DD7" w:rsidRPr="001E1792" w:rsidRDefault="002E3DD7" w:rsidP="002E3DD7">
      <w:pPr>
        <w:bidi/>
        <w:spacing w:after="0" w:line="360" w:lineRule="auto"/>
        <w:ind w:firstLine="709"/>
        <w:jc w:val="right"/>
        <w:rPr>
          <w:b/>
          <w:bCs/>
          <w:sz w:val="28"/>
          <w:szCs w:val="28"/>
        </w:rPr>
      </w:pPr>
    </w:p>
    <w:p w:rsidR="002E3DD7" w:rsidRPr="001E1792" w:rsidRDefault="002E3DD7" w:rsidP="002E3DD7">
      <w:pPr>
        <w:bidi/>
        <w:spacing w:after="0" w:line="360" w:lineRule="auto"/>
        <w:ind w:firstLine="709"/>
        <w:jc w:val="right"/>
        <w:rPr>
          <w:b/>
          <w:bCs/>
          <w:sz w:val="28"/>
          <w:szCs w:val="28"/>
        </w:rPr>
      </w:pPr>
    </w:p>
    <w:sectPr w:rsidR="002E3DD7" w:rsidRPr="001E1792" w:rsidSect="00607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5D" w:rsidRDefault="005B205D" w:rsidP="00EB68B2">
      <w:pPr>
        <w:spacing w:after="0"/>
      </w:pPr>
      <w:r>
        <w:separator/>
      </w:r>
    </w:p>
  </w:endnote>
  <w:endnote w:type="continuationSeparator" w:id="0">
    <w:p w:rsidR="005B205D" w:rsidRDefault="005B205D" w:rsidP="00EB6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27" w:rsidRDefault="001D7A27" w:rsidP="00EB68B2">
    <w:pPr>
      <w:pStyle w:val="a8"/>
      <w:jc w:val="right"/>
    </w:pPr>
  </w:p>
  <w:p w:rsidR="001D7A27" w:rsidRDefault="001D7A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5D" w:rsidRDefault="005B205D" w:rsidP="00EB68B2">
      <w:pPr>
        <w:spacing w:after="0"/>
      </w:pPr>
      <w:r>
        <w:separator/>
      </w:r>
    </w:p>
  </w:footnote>
  <w:footnote w:type="continuationSeparator" w:id="0">
    <w:p w:rsidR="005B205D" w:rsidRDefault="005B205D" w:rsidP="00EB68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6C34"/>
    <w:multiLevelType w:val="hybridMultilevel"/>
    <w:tmpl w:val="A20E5C84"/>
    <w:lvl w:ilvl="0" w:tplc="978E944C">
      <w:numFmt w:val="bullet"/>
      <w:lvlText w:val="-"/>
      <w:lvlJc w:val="left"/>
      <w:pPr>
        <w:ind w:left="2602" w:hanging="360"/>
      </w:pPr>
      <w:rPr>
        <w:rFonts w:ascii="Times New Roman" w:eastAsia="Times New Roman" w:hAnsi="Times New Roman" w:cs="Times New Roman" w:hint="default"/>
      </w:rPr>
    </w:lvl>
    <w:lvl w:ilvl="1" w:tplc="04220003" w:tentative="1">
      <w:start w:val="1"/>
      <w:numFmt w:val="bullet"/>
      <w:lvlText w:val="o"/>
      <w:lvlJc w:val="left"/>
      <w:pPr>
        <w:ind w:left="3322" w:hanging="360"/>
      </w:pPr>
      <w:rPr>
        <w:rFonts w:ascii="Courier New" w:hAnsi="Courier New" w:cs="Courier New" w:hint="default"/>
      </w:rPr>
    </w:lvl>
    <w:lvl w:ilvl="2" w:tplc="04220005" w:tentative="1">
      <w:start w:val="1"/>
      <w:numFmt w:val="bullet"/>
      <w:lvlText w:val=""/>
      <w:lvlJc w:val="left"/>
      <w:pPr>
        <w:ind w:left="4042" w:hanging="360"/>
      </w:pPr>
      <w:rPr>
        <w:rFonts w:ascii="Wingdings" w:hAnsi="Wingdings" w:hint="default"/>
      </w:rPr>
    </w:lvl>
    <w:lvl w:ilvl="3" w:tplc="04220001" w:tentative="1">
      <w:start w:val="1"/>
      <w:numFmt w:val="bullet"/>
      <w:lvlText w:val=""/>
      <w:lvlJc w:val="left"/>
      <w:pPr>
        <w:ind w:left="4762" w:hanging="360"/>
      </w:pPr>
      <w:rPr>
        <w:rFonts w:ascii="Symbol" w:hAnsi="Symbol" w:hint="default"/>
      </w:rPr>
    </w:lvl>
    <w:lvl w:ilvl="4" w:tplc="04220003" w:tentative="1">
      <w:start w:val="1"/>
      <w:numFmt w:val="bullet"/>
      <w:lvlText w:val="o"/>
      <w:lvlJc w:val="left"/>
      <w:pPr>
        <w:ind w:left="5482" w:hanging="360"/>
      </w:pPr>
      <w:rPr>
        <w:rFonts w:ascii="Courier New" w:hAnsi="Courier New" w:cs="Courier New" w:hint="default"/>
      </w:rPr>
    </w:lvl>
    <w:lvl w:ilvl="5" w:tplc="04220005" w:tentative="1">
      <w:start w:val="1"/>
      <w:numFmt w:val="bullet"/>
      <w:lvlText w:val=""/>
      <w:lvlJc w:val="left"/>
      <w:pPr>
        <w:ind w:left="6202" w:hanging="360"/>
      </w:pPr>
      <w:rPr>
        <w:rFonts w:ascii="Wingdings" w:hAnsi="Wingdings" w:hint="default"/>
      </w:rPr>
    </w:lvl>
    <w:lvl w:ilvl="6" w:tplc="04220001" w:tentative="1">
      <w:start w:val="1"/>
      <w:numFmt w:val="bullet"/>
      <w:lvlText w:val=""/>
      <w:lvlJc w:val="left"/>
      <w:pPr>
        <w:ind w:left="6922" w:hanging="360"/>
      </w:pPr>
      <w:rPr>
        <w:rFonts w:ascii="Symbol" w:hAnsi="Symbol" w:hint="default"/>
      </w:rPr>
    </w:lvl>
    <w:lvl w:ilvl="7" w:tplc="04220003" w:tentative="1">
      <w:start w:val="1"/>
      <w:numFmt w:val="bullet"/>
      <w:lvlText w:val="o"/>
      <w:lvlJc w:val="left"/>
      <w:pPr>
        <w:ind w:left="7642" w:hanging="360"/>
      </w:pPr>
      <w:rPr>
        <w:rFonts w:ascii="Courier New" w:hAnsi="Courier New" w:cs="Courier New" w:hint="default"/>
      </w:rPr>
    </w:lvl>
    <w:lvl w:ilvl="8" w:tplc="04220005" w:tentative="1">
      <w:start w:val="1"/>
      <w:numFmt w:val="bullet"/>
      <w:lvlText w:val=""/>
      <w:lvlJc w:val="left"/>
      <w:pPr>
        <w:ind w:left="8362" w:hanging="360"/>
      </w:pPr>
      <w:rPr>
        <w:rFonts w:ascii="Wingdings" w:hAnsi="Wingdings" w:hint="default"/>
      </w:rPr>
    </w:lvl>
  </w:abstractNum>
  <w:abstractNum w:abstractNumId="1">
    <w:nsid w:val="49D10ACB"/>
    <w:multiLevelType w:val="hybridMultilevel"/>
    <w:tmpl w:val="76C4CBC8"/>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5D746759"/>
    <w:multiLevelType w:val="hybridMultilevel"/>
    <w:tmpl w:val="3D703B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7D0373"/>
    <w:multiLevelType w:val="hybridMultilevel"/>
    <w:tmpl w:val="19A05808"/>
    <w:lvl w:ilvl="0" w:tplc="978E94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10"/>
    <w:rsid w:val="000001A6"/>
    <w:rsid w:val="0008352D"/>
    <w:rsid w:val="000867D8"/>
    <w:rsid w:val="000D6DC8"/>
    <w:rsid w:val="001373ED"/>
    <w:rsid w:val="001D7A27"/>
    <w:rsid w:val="001E1792"/>
    <w:rsid w:val="00213A74"/>
    <w:rsid w:val="002223EC"/>
    <w:rsid w:val="00236AA5"/>
    <w:rsid w:val="002509F7"/>
    <w:rsid w:val="00293756"/>
    <w:rsid w:val="002E3DD7"/>
    <w:rsid w:val="0031514D"/>
    <w:rsid w:val="00343F3E"/>
    <w:rsid w:val="00394504"/>
    <w:rsid w:val="003F33F3"/>
    <w:rsid w:val="00443203"/>
    <w:rsid w:val="00453582"/>
    <w:rsid w:val="00467FEF"/>
    <w:rsid w:val="00526A9B"/>
    <w:rsid w:val="005B205D"/>
    <w:rsid w:val="005C0974"/>
    <w:rsid w:val="005E7F9C"/>
    <w:rsid w:val="00607D10"/>
    <w:rsid w:val="006318BB"/>
    <w:rsid w:val="00687E73"/>
    <w:rsid w:val="006C70BF"/>
    <w:rsid w:val="006E3667"/>
    <w:rsid w:val="00734970"/>
    <w:rsid w:val="0074134C"/>
    <w:rsid w:val="00772FB0"/>
    <w:rsid w:val="007759C5"/>
    <w:rsid w:val="00777163"/>
    <w:rsid w:val="007B2C1F"/>
    <w:rsid w:val="00836ABE"/>
    <w:rsid w:val="00891376"/>
    <w:rsid w:val="0090222E"/>
    <w:rsid w:val="00930A1B"/>
    <w:rsid w:val="00941C5E"/>
    <w:rsid w:val="00962D21"/>
    <w:rsid w:val="009955D4"/>
    <w:rsid w:val="00995F70"/>
    <w:rsid w:val="009A5F4F"/>
    <w:rsid w:val="009B1781"/>
    <w:rsid w:val="009F7D71"/>
    <w:rsid w:val="00A0493F"/>
    <w:rsid w:val="00AA19C5"/>
    <w:rsid w:val="00AB293F"/>
    <w:rsid w:val="00B046E5"/>
    <w:rsid w:val="00B0490C"/>
    <w:rsid w:val="00B277AF"/>
    <w:rsid w:val="00B7564A"/>
    <w:rsid w:val="00B7680E"/>
    <w:rsid w:val="00B815AA"/>
    <w:rsid w:val="00BF3990"/>
    <w:rsid w:val="00C33719"/>
    <w:rsid w:val="00C437FA"/>
    <w:rsid w:val="00C51AB7"/>
    <w:rsid w:val="00C67278"/>
    <w:rsid w:val="00C71B5C"/>
    <w:rsid w:val="00C83216"/>
    <w:rsid w:val="00CB5E86"/>
    <w:rsid w:val="00CC420C"/>
    <w:rsid w:val="00CD2F43"/>
    <w:rsid w:val="00CF74F7"/>
    <w:rsid w:val="00D13812"/>
    <w:rsid w:val="00D35FC2"/>
    <w:rsid w:val="00D76CD6"/>
    <w:rsid w:val="00D84445"/>
    <w:rsid w:val="00DD2FF5"/>
    <w:rsid w:val="00E41BFB"/>
    <w:rsid w:val="00E97E6A"/>
    <w:rsid w:val="00EA463C"/>
    <w:rsid w:val="00EB68B2"/>
    <w:rsid w:val="00ED51CE"/>
    <w:rsid w:val="00F02AEE"/>
    <w:rsid w:val="00F03BBF"/>
    <w:rsid w:val="00F051F1"/>
    <w:rsid w:val="00F45F71"/>
    <w:rsid w:val="00F52806"/>
    <w:rsid w:val="00F57826"/>
    <w:rsid w:val="00FC5045"/>
    <w:rsid w:val="00FE703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5AA"/>
    <w:pPr>
      <w:spacing w:after="200"/>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C5045"/>
    <w:rPr>
      <w:b/>
      <w:bCs/>
      <w:color w:val="4F81BD"/>
      <w:sz w:val="18"/>
      <w:szCs w:val="18"/>
      <w:lang w:val="ru-RU"/>
    </w:rPr>
  </w:style>
  <w:style w:type="character" w:styleId="a4">
    <w:name w:val="Emphasis"/>
    <w:basedOn w:val="a0"/>
    <w:uiPriority w:val="20"/>
    <w:qFormat/>
    <w:rsid w:val="00FC5045"/>
    <w:rPr>
      <w:i/>
      <w:iCs/>
    </w:rPr>
  </w:style>
  <w:style w:type="paragraph" w:styleId="a5">
    <w:name w:val="No Spacing"/>
    <w:uiPriority w:val="1"/>
    <w:qFormat/>
    <w:rsid w:val="00FC5045"/>
    <w:rPr>
      <w:sz w:val="22"/>
      <w:szCs w:val="22"/>
      <w:lang w:val="ru-RU" w:eastAsia="en-US"/>
    </w:rPr>
  </w:style>
  <w:style w:type="paragraph" w:styleId="a6">
    <w:name w:val="List Paragraph"/>
    <w:basedOn w:val="a"/>
    <w:uiPriority w:val="34"/>
    <w:qFormat/>
    <w:rsid w:val="00FC5045"/>
    <w:pPr>
      <w:ind w:left="720"/>
      <w:contextualSpacing/>
    </w:pPr>
    <w:rPr>
      <w:lang w:val="ru-RU"/>
    </w:rPr>
  </w:style>
  <w:style w:type="character" w:styleId="a7">
    <w:name w:val="Book Title"/>
    <w:basedOn w:val="a0"/>
    <w:uiPriority w:val="33"/>
    <w:qFormat/>
    <w:rsid w:val="00FC5045"/>
    <w:rPr>
      <w:b/>
      <w:bCs/>
      <w:smallCaps/>
      <w:spacing w:val="5"/>
    </w:rPr>
  </w:style>
  <w:style w:type="paragraph" w:styleId="a8">
    <w:name w:val="footer"/>
    <w:basedOn w:val="a"/>
    <w:link w:val="a9"/>
    <w:uiPriority w:val="99"/>
    <w:unhideWhenUsed/>
    <w:rsid w:val="000D6DC8"/>
    <w:pPr>
      <w:tabs>
        <w:tab w:val="center" w:pos="4819"/>
        <w:tab w:val="right" w:pos="9639"/>
      </w:tabs>
      <w:spacing w:line="276" w:lineRule="auto"/>
    </w:pPr>
    <w:rPr>
      <w:rFonts w:ascii="Calibri" w:hAnsi="Calibri"/>
      <w:sz w:val="22"/>
      <w:szCs w:val="22"/>
    </w:rPr>
  </w:style>
  <w:style w:type="character" w:customStyle="1" w:styleId="a9">
    <w:name w:val="Нижний колонтитул Знак"/>
    <w:basedOn w:val="a0"/>
    <w:link w:val="a8"/>
    <w:uiPriority w:val="99"/>
    <w:rsid w:val="000D6DC8"/>
    <w:rPr>
      <w:sz w:val="22"/>
      <w:szCs w:val="22"/>
      <w:lang w:eastAsia="en-US"/>
    </w:rPr>
  </w:style>
  <w:style w:type="paragraph" w:styleId="aa">
    <w:name w:val="header"/>
    <w:basedOn w:val="a"/>
    <w:link w:val="ab"/>
    <w:uiPriority w:val="99"/>
    <w:semiHidden/>
    <w:unhideWhenUsed/>
    <w:rsid w:val="00EB68B2"/>
    <w:pPr>
      <w:tabs>
        <w:tab w:val="center" w:pos="4819"/>
        <w:tab w:val="right" w:pos="9639"/>
      </w:tabs>
    </w:pPr>
  </w:style>
  <w:style w:type="character" w:customStyle="1" w:styleId="ab">
    <w:name w:val="Верхний колонтитул Знак"/>
    <w:basedOn w:val="a0"/>
    <w:link w:val="aa"/>
    <w:uiPriority w:val="99"/>
    <w:semiHidden/>
    <w:rsid w:val="00EB68B2"/>
    <w:rPr>
      <w:rFonts w:ascii="Times New Roman" w:hAnsi="Times New Roman"/>
      <w:sz w:val="24"/>
      <w:szCs w:val="24"/>
      <w:lang w:eastAsia="en-US"/>
    </w:rPr>
  </w:style>
  <w:style w:type="paragraph" w:styleId="ac">
    <w:name w:val="Balloon Text"/>
    <w:basedOn w:val="a"/>
    <w:link w:val="ad"/>
    <w:uiPriority w:val="99"/>
    <w:semiHidden/>
    <w:unhideWhenUsed/>
    <w:rsid w:val="009F7D71"/>
    <w:pPr>
      <w:spacing w:after="0"/>
    </w:pPr>
    <w:rPr>
      <w:rFonts w:ascii="Tahoma" w:hAnsi="Tahoma" w:cs="Tahoma"/>
      <w:sz w:val="16"/>
      <w:szCs w:val="16"/>
    </w:rPr>
  </w:style>
  <w:style w:type="character" w:customStyle="1" w:styleId="ad">
    <w:name w:val="Текст выноски Знак"/>
    <w:basedOn w:val="a0"/>
    <w:link w:val="ac"/>
    <w:uiPriority w:val="99"/>
    <w:semiHidden/>
    <w:rsid w:val="009F7D71"/>
    <w:rPr>
      <w:rFonts w:ascii="Tahoma" w:hAnsi="Tahoma" w:cs="Tahoma"/>
      <w:sz w:val="16"/>
      <w:szCs w:val="16"/>
      <w:lang w:eastAsia="en-US"/>
    </w:rPr>
  </w:style>
  <w:style w:type="character" w:styleId="ae">
    <w:name w:val="Hyperlink"/>
    <w:basedOn w:val="a0"/>
    <w:uiPriority w:val="99"/>
    <w:unhideWhenUsed/>
    <w:rsid w:val="002E3D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5AA"/>
    <w:pPr>
      <w:spacing w:after="200"/>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C5045"/>
    <w:rPr>
      <w:b/>
      <w:bCs/>
      <w:color w:val="4F81BD"/>
      <w:sz w:val="18"/>
      <w:szCs w:val="18"/>
      <w:lang w:val="ru-RU"/>
    </w:rPr>
  </w:style>
  <w:style w:type="character" w:styleId="a4">
    <w:name w:val="Emphasis"/>
    <w:basedOn w:val="a0"/>
    <w:uiPriority w:val="20"/>
    <w:qFormat/>
    <w:rsid w:val="00FC5045"/>
    <w:rPr>
      <w:i/>
      <w:iCs/>
    </w:rPr>
  </w:style>
  <w:style w:type="paragraph" w:styleId="a5">
    <w:name w:val="No Spacing"/>
    <w:uiPriority w:val="1"/>
    <w:qFormat/>
    <w:rsid w:val="00FC5045"/>
    <w:rPr>
      <w:sz w:val="22"/>
      <w:szCs w:val="22"/>
      <w:lang w:val="ru-RU" w:eastAsia="en-US"/>
    </w:rPr>
  </w:style>
  <w:style w:type="paragraph" w:styleId="a6">
    <w:name w:val="List Paragraph"/>
    <w:basedOn w:val="a"/>
    <w:uiPriority w:val="34"/>
    <w:qFormat/>
    <w:rsid w:val="00FC5045"/>
    <w:pPr>
      <w:ind w:left="720"/>
      <w:contextualSpacing/>
    </w:pPr>
    <w:rPr>
      <w:lang w:val="ru-RU"/>
    </w:rPr>
  </w:style>
  <w:style w:type="character" w:styleId="a7">
    <w:name w:val="Book Title"/>
    <w:basedOn w:val="a0"/>
    <w:uiPriority w:val="33"/>
    <w:qFormat/>
    <w:rsid w:val="00FC5045"/>
    <w:rPr>
      <w:b/>
      <w:bCs/>
      <w:smallCaps/>
      <w:spacing w:val="5"/>
    </w:rPr>
  </w:style>
  <w:style w:type="paragraph" w:styleId="a8">
    <w:name w:val="footer"/>
    <w:basedOn w:val="a"/>
    <w:link w:val="a9"/>
    <w:uiPriority w:val="99"/>
    <w:unhideWhenUsed/>
    <w:rsid w:val="000D6DC8"/>
    <w:pPr>
      <w:tabs>
        <w:tab w:val="center" w:pos="4819"/>
        <w:tab w:val="right" w:pos="9639"/>
      </w:tabs>
      <w:spacing w:line="276" w:lineRule="auto"/>
    </w:pPr>
    <w:rPr>
      <w:rFonts w:ascii="Calibri" w:hAnsi="Calibri"/>
      <w:sz w:val="22"/>
      <w:szCs w:val="22"/>
    </w:rPr>
  </w:style>
  <w:style w:type="character" w:customStyle="1" w:styleId="a9">
    <w:name w:val="Нижний колонтитул Знак"/>
    <w:basedOn w:val="a0"/>
    <w:link w:val="a8"/>
    <w:uiPriority w:val="99"/>
    <w:rsid w:val="000D6DC8"/>
    <w:rPr>
      <w:sz w:val="22"/>
      <w:szCs w:val="22"/>
      <w:lang w:eastAsia="en-US"/>
    </w:rPr>
  </w:style>
  <w:style w:type="paragraph" w:styleId="aa">
    <w:name w:val="header"/>
    <w:basedOn w:val="a"/>
    <w:link w:val="ab"/>
    <w:uiPriority w:val="99"/>
    <w:semiHidden/>
    <w:unhideWhenUsed/>
    <w:rsid w:val="00EB68B2"/>
    <w:pPr>
      <w:tabs>
        <w:tab w:val="center" w:pos="4819"/>
        <w:tab w:val="right" w:pos="9639"/>
      </w:tabs>
    </w:pPr>
  </w:style>
  <w:style w:type="character" w:customStyle="1" w:styleId="ab">
    <w:name w:val="Верхний колонтитул Знак"/>
    <w:basedOn w:val="a0"/>
    <w:link w:val="aa"/>
    <w:uiPriority w:val="99"/>
    <w:semiHidden/>
    <w:rsid w:val="00EB68B2"/>
    <w:rPr>
      <w:rFonts w:ascii="Times New Roman" w:hAnsi="Times New Roman"/>
      <w:sz w:val="24"/>
      <w:szCs w:val="24"/>
      <w:lang w:eastAsia="en-US"/>
    </w:rPr>
  </w:style>
  <w:style w:type="paragraph" w:styleId="ac">
    <w:name w:val="Balloon Text"/>
    <w:basedOn w:val="a"/>
    <w:link w:val="ad"/>
    <w:uiPriority w:val="99"/>
    <w:semiHidden/>
    <w:unhideWhenUsed/>
    <w:rsid w:val="009F7D71"/>
    <w:pPr>
      <w:spacing w:after="0"/>
    </w:pPr>
    <w:rPr>
      <w:rFonts w:ascii="Tahoma" w:hAnsi="Tahoma" w:cs="Tahoma"/>
      <w:sz w:val="16"/>
      <w:szCs w:val="16"/>
    </w:rPr>
  </w:style>
  <w:style w:type="character" w:customStyle="1" w:styleId="ad">
    <w:name w:val="Текст выноски Знак"/>
    <w:basedOn w:val="a0"/>
    <w:link w:val="ac"/>
    <w:uiPriority w:val="99"/>
    <w:semiHidden/>
    <w:rsid w:val="009F7D71"/>
    <w:rPr>
      <w:rFonts w:ascii="Tahoma" w:hAnsi="Tahoma" w:cs="Tahoma"/>
      <w:sz w:val="16"/>
      <w:szCs w:val="16"/>
      <w:lang w:eastAsia="en-US"/>
    </w:rPr>
  </w:style>
  <w:style w:type="character" w:styleId="ae">
    <w:name w:val="Hyperlink"/>
    <w:basedOn w:val="a0"/>
    <w:uiPriority w:val="99"/>
    <w:unhideWhenUsed/>
    <w:rsid w:val="002E3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ranklintempleton.com/forms-literature/download/995-S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wenstei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da.org/researchnotes/pdf/ISDA-Research-Notes2.p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ctad.org/en/docs/pocomd15r2.en.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bis.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400172886520634"/>
          <c:y val="8.0145620404216508E-2"/>
          <c:w val="0.80386768611601711"/>
          <c:h val="0.64946725409323869"/>
        </c:manualLayout>
      </c:layout>
      <c:barChart>
        <c:barDir val="col"/>
        <c:grouping val="clustered"/>
        <c:varyColors val="0"/>
        <c:ser>
          <c:idx val="0"/>
          <c:order val="0"/>
          <c:tx>
            <c:strRef>
              <c:f>Лист1!$B$1</c:f>
              <c:strCache>
                <c:ptCount val="1"/>
                <c:pt idx="0">
                  <c:v>2012</c:v>
                </c:pt>
              </c:strCache>
            </c:strRef>
          </c:tx>
          <c:spPr>
            <a:solidFill>
              <a:schemeClr val="tx1">
                <a:lumMod val="50000"/>
                <a:lumOff val="50000"/>
              </a:schemeClr>
            </a:solidFill>
          </c:spPr>
          <c:invertIfNegative val="0"/>
          <c:cat>
            <c:strRef>
              <c:f>Лист1!$A$2:$A$4</c:f>
              <c:strCache>
                <c:ptCount val="3"/>
                <c:pt idx="0">
                  <c:v>Ф’ючерси</c:v>
                </c:pt>
                <c:pt idx="1">
                  <c:v>Опціони</c:v>
                </c:pt>
                <c:pt idx="2">
                  <c:v>Всього</c:v>
                </c:pt>
              </c:strCache>
            </c:strRef>
          </c:cat>
          <c:val>
            <c:numRef>
              <c:f>Лист1!$B$2:$B$4</c:f>
              <c:numCache>
                <c:formatCode>General</c:formatCode>
                <c:ptCount val="3"/>
                <c:pt idx="0" formatCode="#,##0">
                  <c:v>11072105368</c:v>
                </c:pt>
                <c:pt idx="1">
                  <c:v>10118012082</c:v>
                </c:pt>
                <c:pt idx="2">
                  <c:v>21190117450</c:v>
                </c:pt>
              </c:numCache>
            </c:numRef>
          </c:val>
        </c:ser>
        <c:ser>
          <c:idx val="1"/>
          <c:order val="1"/>
          <c:tx>
            <c:strRef>
              <c:f>Лист1!$C$1</c:f>
              <c:strCache>
                <c:ptCount val="1"/>
                <c:pt idx="0">
                  <c:v>2013</c:v>
                </c:pt>
              </c:strCache>
            </c:strRef>
          </c:tx>
          <c:spPr>
            <a:solidFill>
              <a:schemeClr val="bg1">
                <a:lumMod val="75000"/>
                <a:alpha val="65000"/>
              </a:schemeClr>
            </a:solidFill>
          </c:spPr>
          <c:invertIfNegative val="0"/>
          <c:cat>
            <c:strRef>
              <c:f>Лист1!$A$2:$A$4</c:f>
              <c:strCache>
                <c:ptCount val="3"/>
                <c:pt idx="0">
                  <c:v>Ф’ючерси</c:v>
                </c:pt>
                <c:pt idx="1">
                  <c:v>Опціони</c:v>
                </c:pt>
                <c:pt idx="2">
                  <c:v>Всього</c:v>
                </c:pt>
              </c:strCache>
            </c:strRef>
          </c:cat>
          <c:val>
            <c:numRef>
              <c:f>Лист1!$C$2:$C$4</c:f>
              <c:numCache>
                <c:formatCode>General</c:formatCode>
                <c:ptCount val="3"/>
                <c:pt idx="0">
                  <c:v>12217755153</c:v>
                </c:pt>
                <c:pt idx="1">
                  <c:v>9425664621</c:v>
                </c:pt>
                <c:pt idx="2">
                  <c:v>21643419774</c:v>
                </c:pt>
              </c:numCache>
            </c:numRef>
          </c:val>
        </c:ser>
        <c:dLbls>
          <c:showLegendKey val="0"/>
          <c:showVal val="0"/>
          <c:showCatName val="0"/>
          <c:showSerName val="0"/>
          <c:showPercent val="0"/>
          <c:showBubbleSize val="0"/>
        </c:dLbls>
        <c:gapWidth val="150"/>
        <c:axId val="193758720"/>
        <c:axId val="193760640"/>
      </c:barChart>
      <c:lineChart>
        <c:grouping val="standard"/>
        <c:varyColors val="0"/>
        <c:ser>
          <c:idx val="2"/>
          <c:order val="2"/>
          <c:tx>
            <c:strRef>
              <c:f>Лист1!$D$1</c:f>
              <c:strCache>
                <c:ptCount val="1"/>
                <c:pt idx="0">
                  <c:v>% відхилення </c:v>
                </c:pt>
              </c:strCache>
            </c:strRef>
          </c:tx>
          <c:spPr>
            <a:ln w="19032">
              <a:solidFill>
                <a:scrgbClr r="0" g="0" b="0"/>
              </a:solidFill>
            </a:ln>
          </c:spPr>
          <c:marker>
            <c:symbol val="diamond"/>
            <c:size val="4"/>
            <c:spPr>
              <a:solidFill>
                <a:schemeClr val="tx1">
                  <a:lumMod val="65000"/>
                  <a:lumOff val="35000"/>
                </a:schemeClr>
              </a:solidFill>
            </c:spPr>
          </c:marker>
          <c:dLbls>
            <c:dLbl>
              <c:idx val="1"/>
              <c:layout>
                <c:manualLayout>
                  <c:x val="0"/>
                  <c:y val="-2.9166666666666667E-2"/>
                </c:manualLayout>
              </c:layout>
              <c:spPr>
                <a:noFill/>
              </c:spPr>
              <c:txPr>
                <a:bodyPr/>
                <a:lstStyle/>
                <a:p>
                  <a:pPr>
                    <a:defRPr/>
                  </a:pPr>
                  <a:endParaRPr lang="uk-UA"/>
                </a:p>
              </c:txPr>
              <c:dLblPos val="r"/>
              <c:showLegendKey val="0"/>
              <c:showVal val="1"/>
              <c:showCatName val="0"/>
              <c:showSerName val="0"/>
              <c:showPercent val="0"/>
              <c:showBubbleSize val="0"/>
            </c:dLbl>
            <c:dLbl>
              <c:idx val="2"/>
              <c:layout>
                <c:manualLayout>
                  <c:x val="0"/>
                  <c:y val="-2.5000000000000015E-2"/>
                </c:manualLayout>
              </c:layout>
              <c:spPr>
                <a:noFill/>
              </c:spPr>
              <c:txPr>
                <a:bodyPr/>
                <a:lstStyle/>
                <a:p>
                  <a:pPr>
                    <a:defRPr/>
                  </a:pPr>
                  <a:endParaRPr lang="uk-UA"/>
                </a:p>
              </c:txPr>
              <c:dLblPos val="r"/>
              <c:showLegendKey val="0"/>
              <c:showVal val="1"/>
              <c:showCatName val="0"/>
              <c:showSerName val="0"/>
              <c:showPercent val="0"/>
              <c:showBubbleSize val="0"/>
            </c:dLbl>
            <c:spPr>
              <a:noFill/>
            </c:spPr>
            <c:showLegendKey val="0"/>
            <c:showVal val="1"/>
            <c:showCatName val="0"/>
            <c:showSerName val="0"/>
            <c:showPercent val="0"/>
            <c:showBubbleSize val="0"/>
            <c:showLeaderLines val="0"/>
          </c:dLbls>
          <c:cat>
            <c:strRef>
              <c:f>Лист1!$A$2:$A$4</c:f>
              <c:strCache>
                <c:ptCount val="3"/>
                <c:pt idx="0">
                  <c:v>Ф’ючерси</c:v>
                </c:pt>
                <c:pt idx="1">
                  <c:v>Опціони</c:v>
                </c:pt>
                <c:pt idx="2">
                  <c:v>Всього</c:v>
                </c:pt>
              </c:strCache>
            </c:strRef>
          </c:cat>
          <c:val>
            <c:numRef>
              <c:f>Лист1!$D$2:$D$4</c:f>
              <c:numCache>
                <c:formatCode>General</c:formatCode>
                <c:ptCount val="3"/>
                <c:pt idx="0">
                  <c:v>10.3</c:v>
                </c:pt>
                <c:pt idx="1">
                  <c:v>-6.8</c:v>
                </c:pt>
                <c:pt idx="2">
                  <c:v>2.1</c:v>
                </c:pt>
              </c:numCache>
            </c:numRef>
          </c:val>
          <c:smooth val="1"/>
        </c:ser>
        <c:dLbls>
          <c:showLegendKey val="0"/>
          <c:showVal val="0"/>
          <c:showCatName val="0"/>
          <c:showSerName val="0"/>
          <c:showPercent val="0"/>
          <c:showBubbleSize val="0"/>
        </c:dLbls>
        <c:marker val="1"/>
        <c:smooth val="0"/>
        <c:axId val="197483520"/>
        <c:axId val="209912576"/>
      </c:lineChart>
      <c:catAx>
        <c:axId val="193758720"/>
        <c:scaling>
          <c:orientation val="minMax"/>
        </c:scaling>
        <c:delete val="0"/>
        <c:axPos val="b"/>
        <c:numFmt formatCode="General" sourceLinked="1"/>
        <c:majorTickMark val="none"/>
        <c:minorTickMark val="none"/>
        <c:tickLblPos val="nextTo"/>
        <c:txPr>
          <a:bodyPr/>
          <a:lstStyle/>
          <a:p>
            <a:pPr>
              <a:defRPr sz="1099" baseline="0"/>
            </a:pPr>
            <a:endParaRPr lang="uk-UA"/>
          </a:p>
        </c:txPr>
        <c:crossAx val="193760640"/>
        <c:crosses val="autoZero"/>
        <c:auto val="1"/>
        <c:lblAlgn val="ctr"/>
        <c:lblOffset val="100"/>
        <c:noMultiLvlLbl val="0"/>
      </c:catAx>
      <c:valAx>
        <c:axId val="193760640"/>
        <c:scaling>
          <c:orientation val="minMax"/>
        </c:scaling>
        <c:delete val="0"/>
        <c:axPos val="l"/>
        <c:title>
          <c:tx>
            <c:rich>
              <a:bodyPr/>
              <a:lstStyle/>
              <a:p>
                <a:pPr>
                  <a:defRPr sz="1199" b="1" i="0" u="none" strike="noStrike" baseline="0">
                    <a:solidFill>
                      <a:srgbClr val="000000"/>
                    </a:solidFill>
                    <a:latin typeface="Times New Roman"/>
                    <a:ea typeface="Times New Roman"/>
                    <a:cs typeface="Times New Roman"/>
                  </a:defRPr>
                </a:pPr>
                <a:r>
                  <a:rPr lang="uk-UA"/>
                  <a:t>Кількість контрактів,</a:t>
                </a:r>
              </a:p>
            </c:rich>
          </c:tx>
          <c:layout>
            <c:manualLayout>
              <c:xMode val="edge"/>
              <c:yMode val="edge"/>
              <c:x val="2.5672707007514613E-2"/>
              <c:y val="0.20923952030111992"/>
            </c:manualLayout>
          </c:layout>
          <c:overlay val="0"/>
          <c:spPr>
            <a:ln>
              <a:noFill/>
            </a:ln>
          </c:spPr>
        </c:title>
        <c:numFmt formatCode="#,##0" sourceLinked="1"/>
        <c:majorTickMark val="out"/>
        <c:minorTickMark val="none"/>
        <c:tickLblPos val="nextTo"/>
        <c:txPr>
          <a:bodyPr/>
          <a:lstStyle/>
          <a:p>
            <a:pPr>
              <a:defRPr sz="1099"/>
            </a:pPr>
            <a:endParaRPr lang="uk-UA"/>
          </a:p>
        </c:txPr>
        <c:crossAx val="193758720"/>
        <c:crosses val="autoZero"/>
        <c:crossBetween val="between"/>
        <c:dispUnits>
          <c:builtInUnit val="billions"/>
          <c:dispUnitsLbl>
            <c:layout>
              <c:manualLayout>
                <c:xMode val="edge"/>
                <c:yMode val="edge"/>
                <c:x val="2.9581841999967155E-2"/>
                <c:y val="6.347900262467189E-2"/>
              </c:manualLayout>
            </c:layout>
            <c:tx>
              <c:rich>
                <a:bodyPr rot="-5400000" vert="horz"/>
                <a:lstStyle/>
                <a:p>
                  <a:pPr algn="ctr">
                    <a:defRPr sz="1099" b="1" i="0" u="none" strike="noStrike" baseline="0">
                      <a:solidFill>
                        <a:srgbClr val="000000"/>
                      </a:solidFill>
                      <a:latin typeface="Times New Roman"/>
                      <a:ea typeface="Times New Roman"/>
                      <a:cs typeface="Times New Roman"/>
                    </a:defRPr>
                  </a:pPr>
                  <a:r>
                    <a:rPr lang="uk-UA"/>
                    <a:t>млрд</a:t>
                  </a:r>
                </a:p>
              </c:rich>
            </c:tx>
          </c:dispUnitsLbl>
        </c:dispUnits>
      </c:valAx>
      <c:catAx>
        <c:axId val="197483520"/>
        <c:scaling>
          <c:orientation val="minMax"/>
        </c:scaling>
        <c:delete val="1"/>
        <c:axPos val="b"/>
        <c:majorTickMark val="out"/>
        <c:minorTickMark val="none"/>
        <c:tickLblPos val="none"/>
        <c:crossAx val="209912576"/>
        <c:crossesAt val="-8"/>
        <c:auto val="1"/>
        <c:lblAlgn val="ctr"/>
        <c:lblOffset val="100"/>
        <c:noMultiLvlLbl val="0"/>
      </c:catAx>
      <c:valAx>
        <c:axId val="209912576"/>
        <c:scaling>
          <c:orientation val="minMax"/>
        </c:scaling>
        <c:delete val="0"/>
        <c:axPos val="r"/>
        <c:numFmt formatCode="General" sourceLinked="1"/>
        <c:majorTickMark val="out"/>
        <c:minorTickMark val="none"/>
        <c:tickLblPos val="nextTo"/>
        <c:txPr>
          <a:bodyPr/>
          <a:lstStyle/>
          <a:p>
            <a:pPr>
              <a:defRPr sz="1099"/>
            </a:pPr>
            <a:endParaRPr lang="uk-UA"/>
          </a:p>
        </c:txPr>
        <c:crossAx val="197483520"/>
        <c:crosses val="max"/>
        <c:crossBetween val="between"/>
      </c:valAx>
    </c:plotArea>
    <c:legend>
      <c:legendPos val="b"/>
      <c:layout>
        <c:manualLayout>
          <c:xMode val="edge"/>
          <c:yMode val="edge"/>
          <c:x val="0.10723294862114861"/>
          <c:y val="0.86207256247310116"/>
          <c:w val="0.82372919138532363"/>
          <c:h val="7.2321104556464122E-2"/>
        </c:manualLayout>
      </c:layout>
      <c:overlay val="0"/>
      <c:txPr>
        <a:bodyPr/>
        <a:lstStyle/>
        <a:p>
          <a:pPr>
            <a:defRPr sz="1199"/>
          </a:pPr>
          <a:endParaRPr lang="uk-UA"/>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12321</Words>
  <Characters>7024</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Пк</cp:lastModifiedBy>
  <cp:revision>2</cp:revision>
  <dcterms:created xsi:type="dcterms:W3CDTF">2015-02-06T11:08:00Z</dcterms:created>
  <dcterms:modified xsi:type="dcterms:W3CDTF">2015-02-06T11:08:00Z</dcterms:modified>
</cp:coreProperties>
</file>